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D0" w:rsidRPr="008D4D63" w:rsidRDefault="00E613D0" w:rsidP="001242C6">
      <w:pPr>
        <w:pStyle w:val="AralkYok"/>
        <w:jc w:val="both"/>
        <w:rPr>
          <w:rFonts w:ascii="Times New Roman" w:hAnsi="Times New Roman" w:cs="Times New Roman"/>
          <w:sz w:val="24"/>
          <w:szCs w:val="24"/>
        </w:rPr>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FD3601" w:rsidP="00D14B9A">
      <w:pPr>
        <w:pStyle w:val="AralkYok"/>
        <w:jc w:val="center"/>
        <w:rPr>
          <w:rFonts w:ascii="Times New Roman" w:hAnsi="Times New Roman" w:cs="Times New Roman"/>
          <w:b/>
          <w:sz w:val="24"/>
          <w:szCs w:val="24"/>
        </w:rPr>
      </w:pPr>
      <w:r>
        <w:rPr>
          <w:rFonts w:ascii="Times New Roman" w:hAnsi="Times New Roman" w:cs="Times New Roman"/>
          <w:b/>
          <w:sz w:val="24"/>
          <w:szCs w:val="24"/>
        </w:rPr>
        <w:t xml:space="preserve">AİLE </w:t>
      </w:r>
      <w:r w:rsidR="00D14B9A" w:rsidRPr="008D4D63">
        <w:rPr>
          <w:rFonts w:ascii="Times New Roman" w:hAnsi="Times New Roman" w:cs="Times New Roman"/>
          <w:b/>
          <w:sz w:val="24"/>
          <w:szCs w:val="24"/>
        </w:rPr>
        <w:t>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FD3601" w:rsidP="00784D93">
      <w:pPr>
        <w:pStyle w:val="AralkYok"/>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Aile </w:t>
      </w:r>
      <w:r w:rsidR="004D71B8" w:rsidRPr="008D4D63">
        <w:rPr>
          <w:rFonts w:ascii="Times New Roman" w:hAnsi="Times New Roman" w:cs="Times New Roman"/>
          <w:sz w:val="24"/>
          <w:szCs w:val="24"/>
        </w:rPr>
        <w:t>Sosyal Hizmetler Bakanlığı taşra teşkilatı il müdürlükleri ve sosyal hizmet kuruluşlarında çalıştırılmak üzere 4857 sayılı İş Kanunu esasları kapsamı ile 09/08/2009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roofErr w:type="gramEnd"/>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FD3601">
        <w:t>Aile</w:t>
      </w:r>
      <w:r w:rsidR="001A5671" w:rsidRPr="008D4D63">
        <w:t xml:space="preserve">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lastRenderedPageBreak/>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w:t>
      </w:r>
      <w:r w:rsidR="00FD3601">
        <w:rPr>
          <w:rFonts w:ascii="Times New Roman" w:hAnsi="Times New Roman" w:cs="Times New Roman"/>
          <w:sz w:val="24"/>
          <w:szCs w:val="24"/>
        </w:rPr>
        <w:t xml:space="preserve">1 başkan </w:t>
      </w:r>
      <w:r w:rsidR="00436175" w:rsidRPr="008D4D63">
        <w:rPr>
          <w:rFonts w:ascii="Times New Roman" w:hAnsi="Times New Roman" w:cs="Times New Roman"/>
          <w:sz w:val="24"/>
          <w:szCs w:val="24"/>
        </w:rPr>
        <w:t xml:space="preserve">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D93431" w:rsidRDefault="00D93431" w:rsidP="00244236">
      <w:pPr>
        <w:ind w:firstLine="360"/>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lastRenderedPageBreak/>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920325" w:rsidP="00784D93">
            <w:pPr>
              <w:jc w:val="both"/>
              <w:rPr>
                <w:sz w:val="24"/>
                <w:szCs w:val="24"/>
              </w:rPr>
            </w:pPr>
            <w:r>
              <w:rPr>
                <w:sz w:val="24"/>
                <w:szCs w:val="24"/>
              </w:rPr>
              <w:t>İl Müdürlüğü</w:t>
            </w:r>
            <w:r w:rsidR="00784D93" w:rsidRPr="00784D93">
              <w:rPr>
                <w:sz w:val="24"/>
                <w:szCs w:val="24"/>
              </w:rPr>
              <w:t xml:space="preserve">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920325" w:rsidP="00920325">
            <w:pPr>
              <w:rPr>
                <w:sz w:val="24"/>
                <w:szCs w:val="24"/>
              </w:rPr>
            </w:pPr>
            <w:r>
              <w:rPr>
                <w:sz w:val="24"/>
                <w:szCs w:val="24"/>
              </w:rPr>
              <w:t xml:space="preserve">   24.09.2021</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920325" w:rsidP="00A247B9">
            <w:pPr>
              <w:jc w:val="center"/>
              <w:rPr>
                <w:sz w:val="24"/>
                <w:szCs w:val="24"/>
              </w:rPr>
            </w:pPr>
            <w:r>
              <w:rPr>
                <w:sz w:val="24"/>
                <w:szCs w:val="24"/>
              </w:rPr>
              <w:t>27.09.2021</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920325" w:rsidP="00A247B9">
            <w:pPr>
              <w:jc w:val="center"/>
              <w:rPr>
                <w:sz w:val="24"/>
                <w:szCs w:val="24"/>
              </w:rPr>
            </w:pPr>
            <w:r>
              <w:rPr>
                <w:sz w:val="24"/>
                <w:szCs w:val="24"/>
              </w:rPr>
              <w:t>01.10.2021</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1C766B" w:rsidP="00A247B9">
            <w:pPr>
              <w:jc w:val="center"/>
              <w:rPr>
                <w:sz w:val="24"/>
                <w:szCs w:val="24"/>
              </w:rPr>
            </w:pPr>
            <w:r>
              <w:rPr>
                <w:sz w:val="24"/>
                <w:szCs w:val="24"/>
              </w:rPr>
              <w:t>04.10.2021</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1C766B" w:rsidP="00A247B9">
            <w:pPr>
              <w:jc w:val="center"/>
              <w:rPr>
                <w:sz w:val="24"/>
                <w:szCs w:val="24"/>
              </w:rPr>
            </w:pPr>
            <w:r>
              <w:rPr>
                <w:sz w:val="24"/>
                <w:szCs w:val="24"/>
              </w:rPr>
              <w:t>07.10.2021</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1C766B" w:rsidP="00A247B9">
            <w:pPr>
              <w:jc w:val="center"/>
              <w:rPr>
                <w:sz w:val="24"/>
                <w:szCs w:val="24"/>
              </w:rPr>
            </w:pPr>
            <w:r>
              <w:rPr>
                <w:sz w:val="24"/>
                <w:szCs w:val="24"/>
              </w:rPr>
              <w:t>11.10.2021</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1C766B" w:rsidP="00A247B9">
            <w:pPr>
              <w:jc w:val="center"/>
              <w:rPr>
                <w:sz w:val="24"/>
                <w:szCs w:val="24"/>
              </w:rPr>
            </w:pPr>
            <w:r>
              <w:rPr>
                <w:sz w:val="24"/>
                <w:szCs w:val="24"/>
              </w:rPr>
              <w:t>11.10.2021</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1C766B" w:rsidP="00A247B9">
            <w:pPr>
              <w:jc w:val="center"/>
              <w:rPr>
                <w:sz w:val="24"/>
                <w:szCs w:val="24"/>
              </w:rPr>
            </w:pPr>
            <w:r>
              <w:rPr>
                <w:sz w:val="24"/>
                <w:szCs w:val="24"/>
              </w:rPr>
              <w:t>13.10.2021</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1C766B" w:rsidP="00A247B9">
            <w:pPr>
              <w:jc w:val="center"/>
              <w:rPr>
                <w:sz w:val="24"/>
                <w:szCs w:val="24"/>
              </w:rPr>
            </w:pPr>
            <w:r>
              <w:rPr>
                <w:sz w:val="24"/>
                <w:szCs w:val="24"/>
              </w:rPr>
              <w:t>14.10.2021</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14" w:rsidRDefault="00420E14" w:rsidP="00FA649F">
      <w:r>
        <w:separator/>
      </w:r>
    </w:p>
  </w:endnote>
  <w:endnote w:type="continuationSeparator" w:id="0">
    <w:p w:rsidR="00420E14" w:rsidRDefault="00420E14"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14" w:rsidRDefault="00420E14" w:rsidP="00FA649F">
      <w:r>
        <w:separator/>
      </w:r>
    </w:p>
  </w:footnote>
  <w:footnote w:type="continuationSeparator" w:id="0">
    <w:p w:rsidR="00420E14" w:rsidRDefault="00420E14"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257E"/>
    <w:rsid w:val="00025E6F"/>
    <w:rsid w:val="00037CA0"/>
    <w:rsid w:val="0005364F"/>
    <w:rsid w:val="0006357A"/>
    <w:rsid w:val="0006477B"/>
    <w:rsid w:val="00073F0F"/>
    <w:rsid w:val="00094B2B"/>
    <w:rsid w:val="000A451C"/>
    <w:rsid w:val="000A7CC5"/>
    <w:rsid w:val="000B3746"/>
    <w:rsid w:val="000B6C88"/>
    <w:rsid w:val="000C5FDA"/>
    <w:rsid w:val="000D2110"/>
    <w:rsid w:val="000E609C"/>
    <w:rsid w:val="000F29D9"/>
    <w:rsid w:val="000F4AB9"/>
    <w:rsid w:val="001242C6"/>
    <w:rsid w:val="0013153F"/>
    <w:rsid w:val="0014012E"/>
    <w:rsid w:val="0015302E"/>
    <w:rsid w:val="001714D2"/>
    <w:rsid w:val="001745F1"/>
    <w:rsid w:val="00183437"/>
    <w:rsid w:val="001900F2"/>
    <w:rsid w:val="001A5671"/>
    <w:rsid w:val="001B1515"/>
    <w:rsid w:val="001B30D8"/>
    <w:rsid w:val="001C0E0B"/>
    <w:rsid w:val="001C324C"/>
    <w:rsid w:val="001C766B"/>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0E1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B3387"/>
    <w:rsid w:val="006B3734"/>
    <w:rsid w:val="006D76DE"/>
    <w:rsid w:val="006E34BC"/>
    <w:rsid w:val="007012C0"/>
    <w:rsid w:val="007153DD"/>
    <w:rsid w:val="00721602"/>
    <w:rsid w:val="00760937"/>
    <w:rsid w:val="007663C5"/>
    <w:rsid w:val="0077343D"/>
    <w:rsid w:val="00781A89"/>
    <w:rsid w:val="00783A42"/>
    <w:rsid w:val="00784D93"/>
    <w:rsid w:val="00787982"/>
    <w:rsid w:val="007A010F"/>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20325"/>
    <w:rsid w:val="00934583"/>
    <w:rsid w:val="0093647B"/>
    <w:rsid w:val="009666EB"/>
    <w:rsid w:val="009962DA"/>
    <w:rsid w:val="009B6DBF"/>
    <w:rsid w:val="009E50E3"/>
    <w:rsid w:val="009F09AB"/>
    <w:rsid w:val="009F0ABD"/>
    <w:rsid w:val="00A0174C"/>
    <w:rsid w:val="00A247B9"/>
    <w:rsid w:val="00A536F5"/>
    <w:rsid w:val="00A678B5"/>
    <w:rsid w:val="00A82A94"/>
    <w:rsid w:val="00AB355D"/>
    <w:rsid w:val="00AB6077"/>
    <w:rsid w:val="00AB78B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93431"/>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4915"/>
    <w:rsid w:val="00F76A16"/>
    <w:rsid w:val="00F85192"/>
    <w:rsid w:val="00F90A45"/>
    <w:rsid w:val="00F943B4"/>
    <w:rsid w:val="00FA353A"/>
    <w:rsid w:val="00FA649F"/>
    <w:rsid w:val="00FC0894"/>
    <w:rsid w:val="00FD3601"/>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8940-6986-4A07-BC21-A8AFF5E3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6801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ayşe yeşiltaş</cp:lastModifiedBy>
  <cp:revision>2</cp:revision>
  <cp:lastPrinted>2019-12-03T14:41:00Z</cp:lastPrinted>
  <dcterms:created xsi:type="dcterms:W3CDTF">2021-09-24T12:18:00Z</dcterms:created>
  <dcterms:modified xsi:type="dcterms:W3CDTF">2021-09-24T12:18:00Z</dcterms:modified>
</cp:coreProperties>
</file>