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1E" w:rsidRPr="002E4F1E" w:rsidRDefault="002E4F1E" w:rsidP="002E4F1E">
      <w:pPr>
        <w:jc w:val="center"/>
        <w:rPr>
          <w:rFonts w:ascii="Times New Roman" w:hAnsi="Times New Roman" w:cs="Arial"/>
          <w:color w:val="000000" w:themeColor="text1"/>
          <w:sz w:val="24"/>
          <w:szCs w:val="15"/>
        </w:rPr>
      </w:pPr>
      <w:bookmarkStart w:id="0" w:name="_GoBack"/>
      <w:bookmarkEnd w:id="0"/>
      <w:r w:rsidRPr="002E4F1E">
        <w:rPr>
          <w:rFonts w:ascii="Times New Roman" w:hAnsi="Times New Roman" w:cs="Arial"/>
          <w:color w:val="000000" w:themeColor="text1"/>
          <w:sz w:val="24"/>
          <w:szCs w:val="15"/>
        </w:rPr>
        <w:t>FİNANSAL TÜKETİCİLERDEN ALINACAK ÜCRETLERE İLİŞKİN</w:t>
      </w:r>
    </w:p>
    <w:p w:rsidR="002E4F1E" w:rsidRPr="002E4F1E" w:rsidRDefault="002E4F1E" w:rsidP="002E4F1E">
      <w:pPr>
        <w:jc w:val="center"/>
        <w:rPr>
          <w:rFonts w:ascii="Times New Roman" w:hAnsi="Times New Roman" w:cs="Arial"/>
          <w:color w:val="000000" w:themeColor="text1"/>
          <w:sz w:val="24"/>
          <w:szCs w:val="15"/>
        </w:rPr>
      </w:pPr>
      <w:r w:rsidRPr="002E4F1E">
        <w:rPr>
          <w:rFonts w:ascii="Times New Roman" w:hAnsi="Times New Roman" w:cs="Arial"/>
          <w:color w:val="000000" w:themeColor="text1"/>
          <w:sz w:val="24"/>
          <w:szCs w:val="15"/>
        </w:rPr>
        <w:t>USÛL VE ESASLAR HAKKINDA YÖNETMELİK</w:t>
      </w:r>
    </w:p>
    <w:p w:rsidR="002E4F1E" w:rsidRPr="002E4F1E" w:rsidRDefault="002E4F1E" w:rsidP="002E4F1E">
      <w:pPr>
        <w:jc w:val="center"/>
        <w:rPr>
          <w:rFonts w:ascii="Times New Roman" w:hAnsi="Times New Roman" w:cs="Arial"/>
          <w:color w:val="000000" w:themeColor="text1"/>
          <w:sz w:val="24"/>
          <w:szCs w:val="15"/>
        </w:rPr>
      </w:pPr>
    </w:p>
    <w:p w:rsidR="00830D82" w:rsidRPr="002E4F1E" w:rsidRDefault="002E4F1E" w:rsidP="002E4F1E">
      <w:pPr>
        <w:jc w:val="center"/>
        <w:rPr>
          <w:rFonts w:ascii="Times New Roman" w:hAnsi="Times New Roman" w:cs="Arial"/>
          <w:color w:val="000000" w:themeColor="text1"/>
          <w:sz w:val="24"/>
          <w:szCs w:val="15"/>
        </w:rPr>
      </w:pPr>
      <w:r w:rsidRPr="002E4F1E">
        <w:rPr>
          <w:rFonts w:ascii="Times New Roman" w:hAnsi="Times New Roman" w:cs="Arial"/>
          <w:color w:val="000000" w:themeColor="text1"/>
          <w:sz w:val="24"/>
          <w:szCs w:val="15"/>
        </w:rPr>
        <w:t xml:space="preserve">Resmî Gazete </w:t>
      </w:r>
      <w:proofErr w:type="gramStart"/>
      <w:r w:rsidRPr="002E4F1E">
        <w:rPr>
          <w:rFonts w:ascii="Times New Roman" w:hAnsi="Times New Roman" w:cs="Arial"/>
          <w:color w:val="000000" w:themeColor="text1"/>
          <w:sz w:val="24"/>
          <w:szCs w:val="15"/>
        </w:rPr>
        <w:t>Tarihi</w:t>
      </w:r>
      <w:r w:rsidRPr="002E4F1E">
        <w:rPr>
          <w:rFonts w:ascii="Times New Roman" w:hAnsi="Times New Roman" w:cs="Arial"/>
          <w:color w:val="000000" w:themeColor="text1"/>
          <w:sz w:val="24"/>
          <w:szCs w:val="15"/>
        </w:rPr>
        <w:t xml:space="preserve"> </w:t>
      </w:r>
      <w:r w:rsidRPr="002E4F1E">
        <w:rPr>
          <w:rFonts w:ascii="Times New Roman" w:hAnsi="Times New Roman" w:cs="Arial"/>
          <w:color w:val="000000" w:themeColor="text1"/>
          <w:sz w:val="24"/>
          <w:szCs w:val="15"/>
        </w:rPr>
        <w:t>: 3</w:t>
      </w:r>
      <w:proofErr w:type="gramEnd"/>
      <w:r w:rsidRPr="002E4F1E">
        <w:rPr>
          <w:rFonts w:ascii="Times New Roman" w:hAnsi="Times New Roman" w:cs="Arial"/>
          <w:color w:val="000000" w:themeColor="text1"/>
          <w:sz w:val="24"/>
          <w:szCs w:val="15"/>
        </w:rPr>
        <w:t>/</w:t>
      </w:r>
      <w:r w:rsidRPr="002E4F1E">
        <w:rPr>
          <w:rFonts w:ascii="Times New Roman" w:hAnsi="Times New Roman" w:cs="Arial"/>
          <w:color w:val="000000" w:themeColor="text1"/>
          <w:sz w:val="24"/>
          <w:szCs w:val="15"/>
        </w:rPr>
        <w:t>10</w:t>
      </w:r>
      <w:r w:rsidRPr="002E4F1E">
        <w:rPr>
          <w:rFonts w:ascii="Times New Roman" w:hAnsi="Times New Roman" w:cs="Arial"/>
          <w:color w:val="000000" w:themeColor="text1"/>
          <w:sz w:val="24"/>
          <w:szCs w:val="15"/>
        </w:rPr>
        <w:t>/</w:t>
      </w:r>
      <w:r w:rsidRPr="002E4F1E">
        <w:rPr>
          <w:rFonts w:ascii="Times New Roman" w:hAnsi="Times New Roman" w:cs="Arial"/>
          <w:color w:val="000000" w:themeColor="text1"/>
          <w:sz w:val="24"/>
          <w:szCs w:val="15"/>
        </w:rPr>
        <w:t>2014</w:t>
      </w:r>
      <w:r w:rsidRPr="002E4F1E">
        <w:rPr>
          <w:rFonts w:ascii="Times New Roman" w:hAnsi="Times New Roman" w:cs="Arial"/>
          <w:color w:val="000000" w:themeColor="text1"/>
          <w:sz w:val="24"/>
          <w:szCs w:val="15"/>
        </w:rPr>
        <w:t xml:space="preserve">  </w:t>
      </w:r>
      <w:r w:rsidRPr="002E4F1E">
        <w:rPr>
          <w:rFonts w:ascii="Times New Roman" w:hAnsi="Times New Roman" w:cs="Arial"/>
          <w:color w:val="000000" w:themeColor="text1"/>
          <w:sz w:val="24"/>
          <w:szCs w:val="15"/>
        </w:rPr>
        <w:t xml:space="preserve"> Resmî Gazete Sayısı</w:t>
      </w:r>
      <w:r w:rsidRPr="002E4F1E">
        <w:rPr>
          <w:rFonts w:ascii="Times New Roman" w:hAnsi="Times New Roman" w:cs="Arial"/>
          <w:color w:val="000000" w:themeColor="text1"/>
          <w:sz w:val="24"/>
          <w:szCs w:val="15"/>
        </w:rPr>
        <w:t xml:space="preserve"> </w:t>
      </w:r>
      <w:r w:rsidRPr="002E4F1E">
        <w:rPr>
          <w:rFonts w:ascii="Times New Roman" w:hAnsi="Times New Roman" w:cs="Arial"/>
          <w:color w:val="000000" w:themeColor="text1"/>
          <w:sz w:val="24"/>
          <w:szCs w:val="15"/>
        </w:rPr>
        <w:t>: 29138</w:t>
      </w:r>
    </w:p>
    <w:p w:rsidR="002E4F1E" w:rsidRPr="002E4F1E" w:rsidRDefault="002E4F1E" w:rsidP="002E4F1E">
      <w:pPr>
        <w:jc w:val="center"/>
        <w:rPr>
          <w:rFonts w:ascii="Times New Roman" w:hAnsi="Times New Roman" w:cs="Arial"/>
          <w:color w:val="000000" w:themeColor="text1"/>
          <w:sz w:val="24"/>
          <w:szCs w:val="15"/>
        </w:rPr>
      </w:pPr>
    </w:p>
    <w:p w:rsidR="002E4F1E" w:rsidRPr="002E4F1E" w:rsidRDefault="002E4F1E" w:rsidP="002E4F1E">
      <w:pPr>
        <w:spacing w:beforeAutospacing="1" w:after="100" w:afterAutospacing="1" w:line="300" w:lineRule="atLeast"/>
        <w:jc w:val="center"/>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BİRİNCİ BÖLÜM</w:t>
      </w:r>
    </w:p>
    <w:p w:rsidR="002E4F1E" w:rsidRPr="002E4F1E" w:rsidRDefault="002E4F1E" w:rsidP="002E4F1E">
      <w:pPr>
        <w:spacing w:before="100" w:beforeAutospacing="1" w:after="100" w:afterAutospacing="1" w:line="300" w:lineRule="atLeast"/>
        <w:jc w:val="center"/>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Amaç, Kapsam, Dayanak ve Tanımlar</w:t>
      </w: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 Amaç</w:t>
      </w: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MADDE 1 –</w:t>
      </w:r>
      <w:r w:rsidRPr="002E4F1E">
        <w:rPr>
          <w:rFonts w:ascii="Times New Roman" w:eastAsia="Times New Roman" w:hAnsi="Times New Roman" w:cs="Arial"/>
          <w:color w:val="000000" w:themeColor="text1"/>
          <w:sz w:val="24"/>
          <w:szCs w:val="15"/>
          <w:lang w:eastAsia="tr-TR"/>
        </w:rPr>
        <w:t xml:space="preserve"> (1) Bu Yönetmeliğin amacı, kuruluşlar tarafından finansal tüketicilere sunulan ürün veya hizmetlere ilişkin olarak faiz veya kâr payı dışında alınacak her türlü ücret, komisyon ve masraf türleri ile bunlara ilişkin </w:t>
      </w:r>
      <w:proofErr w:type="spellStart"/>
      <w:r w:rsidRPr="002E4F1E">
        <w:rPr>
          <w:rFonts w:ascii="Times New Roman" w:eastAsia="Times New Roman" w:hAnsi="Times New Roman" w:cs="Arial"/>
          <w:color w:val="000000" w:themeColor="text1"/>
          <w:sz w:val="24"/>
          <w:szCs w:val="15"/>
          <w:lang w:eastAsia="tr-TR"/>
        </w:rPr>
        <w:t>usûl</w:t>
      </w:r>
      <w:proofErr w:type="spellEnd"/>
      <w:r w:rsidRPr="002E4F1E">
        <w:rPr>
          <w:rFonts w:ascii="Times New Roman" w:eastAsia="Times New Roman" w:hAnsi="Times New Roman" w:cs="Arial"/>
          <w:color w:val="000000" w:themeColor="text1"/>
          <w:sz w:val="24"/>
          <w:szCs w:val="15"/>
          <w:lang w:eastAsia="tr-TR"/>
        </w:rPr>
        <w:t xml:space="preserve"> ve esasları belirlemektir.</w:t>
      </w: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Kapsam</w:t>
      </w: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MADDE 2 –</w:t>
      </w:r>
      <w:r w:rsidRPr="002E4F1E">
        <w:rPr>
          <w:rFonts w:ascii="Times New Roman" w:eastAsia="Times New Roman" w:hAnsi="Times New Roman" w:cs="Arial"/>
          <w:color w:val="000000" w:themeColor="text1"/>
          <w:sz w:val="24"/>
          <w:szCs w:val="15"/>
          <w:lang w:eastAsia="tr-TR"/>
        </w:rPr>
        <w:t xml:space="preserve"> (1) Bu Yönetmelik bankalar, tüketici kredisi veren finansal kuruluşlar ve kart çıkaran kuruluşlar ile bu kuruluşlar tarafından finansal tüketiciye sunulan ürün veya hizmetleri kapsar. İlgili mevzuat çerçevesinde finansal tüketicilerin menkul kıymet ve sigortacılık işlemleri ile çek, senet ve teminat mektubu işlemleri karşılığında kuruluşların talep edebilecekleri ücretler işbu Yönetmelik kapsamında değildir.</w:t>
      </w: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Dayanak</w:t>
      </w:r>
    </w:p>
    <w:p w:rsidR="002E4F1E" w:rsidRPr="002E4F1E" w:rsidRDefault="002E4F1E" w:rsidP="002E4F1E">
      <w:pPr>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MADDE 3 –</w:t>
      </w:r>
      <w:r w:rsidRPr="002E4F1E">
        <w:rPr>
          <w:rFonts w:ascii="Times New Roman" w:eastAsia="Times New Roman" w:hAnsi="Times New Roman" w:cs="Arial"/>
          <w:color w:val="000000" w:themeColor="text1"/>
          <w:sz w:val="24"/>
          <w:szCs w:val="15"/>
          <w:lang w:eastAsia="tr-TR"/>
        </w:rPr>
        <w:t xml:space="preserve"> (1) Bu Yönetmelik, 7/11/2013 tarihli ve 6502 sayılı Tüketicinin Korunması Hakkında Kanunun 4 üncü maddesinin üçüncü fıkrasına dayanılarak hazırlanmıştır.</w:t>
      </w:r>
    </w:p>
    <w:p w:rsidR="002E4F1E" w:rsidRPr="002E4F1E" w:rsidRDefault="002E4F1E" w:rsidP="002E4F1E">
      <w:pPr>
        <w:jc w:val="both"/>
        <w:rPr>
          <w:rFonts w:ascii="Times New Roman" w:eastAsia="Times New Roman" w:hAnsi="Times New Roman" w:cs="Arial"/>
          <w:color w:val="000000" w:themeColor="text1"/>
          <w:sz w:val="24"/>
          <w:szCs w:val="15"/>
          <w:lang w:eastAsia="tr-TR"/>
        </w:rPr>
      </w:pPr>
    </w:p>
    <w:p w:rsidR="002E4F1E" w:rsidRPr="002E4F1E" w:rsidRDefault="002E4F1E" w:rsidP="002E4F1E">
      <w:pPr>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color w:val="000000" w:themeColor="text1"/>
          <w:sz w:val="24"/>
          <w:szCs w:val="15"/>
          <w:lang w:eastAsia="tr-TR"/>
        </w:rPr>
        <w:t>…</w:t>
      </w:r>
    </w:p>
    <w:p w:rsidR="002E4F1E" w:rsidRPr="002E4F1E" w:rsidRDefault="002E4F1E" w:rsidP="002E4F1E">
      <w:pPr>
        <w:jc w:val="both"/>
        <w:rPr>
          <w:rFonts w:ascii="Times New Roman" w:hAnsi="Times New Roman"/>
          <w:color w:val="000000" w:themeColor="text1"/>
          <w:sz w:val="24"/>
        </w:rPr>
      </w:pPr>
    </w:p>
    <w:p w:rsidR="002E4F1E" w:rsidRPr="002E4F1E" w:rsidRDefault="002E4F1E" w:rsidP="002E4F1E">
      <w:pPr>
        <w:spacing w:beforeAutospacing="1" w:after="100" w:afterAutospacing="1" w:line="300" w:lineRule="atLeast"/>
        <w:jc w:val="center"/>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İKİNCİ BÖLÜM</w:t>
      </w:r>
    </w:p>
    <w:p w:rsidR="002E4F1E" w:rsidRPr="002E4F1E" w:rsidRDefault="002E4F1E" w:rsidP="002E4F1E">
      <w:pPr>
        <w:spacing w:before="100" w:beforeAutospacing="1" w:after="100" w:afterAutospacing="1" w:line="300" w:lineRule="atLeast"/>
        <w:jc w:val="center"/>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Sözleşme Esasları, Ürün veya Hizmetlerin Sınıflandırılması</w:t>
      </w: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t>Sözleşme esasları</w:t>
      </w: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bCs/>
          <w:color w:val="000000" w:themeColor="text1"/>
          <w:sz w:val="24"/>
          <w:szCs w:val="15"/>
          <w:lang w:eastAsia="tr-TR"/>
        </w:rPr>
        <w:lastRenderedPageBreak/>
        <w:t>MADDE 5 –</w:t>
      </w:r>
      <w:r w:rsidRPr="002E4F1E">
        <w:rPr>
          <w:rFonts w:ascii="Times New Roman" w:eastAsia="Times New Roman" w:hAnsi="Times New Roman" w:cs="Arial"/>
          <w:color w:val="000000" w:themeColor="text1"/>
          <w:sz w:val="24"/>
          <w:szCs w:val="15"/>
          <w:lang w:eastAsia="tr-TR"/>
        </w:rPr>
        <w:t xml:space="preserve"> (1) Kuruluşlar ile finansal tüketiciler arasında düzenlenen sözleşmeler ve yapılan bilgilendirmeler en az on iki punto büyüklüğünde, anlaşılabilir bir dilde, açık, sade ve okunabilir bir şekilde düzenlenir ve bunların bir nüshası kâğıt üzerinde veya kalıcı veri saklayıcısı vasıtasıyla finansal tüketiciye verilir.</w:t>
      </w:r>
    </w:p>
    <w:p w:rsidR="002E4F1E" w:rsidRPr="002E4F1E" w:rsidRDefault="002E4F1E" w:rsidP="002E4F1E">
      <w:pPr>
        <w:tabs>
          <w:tab w:val="left" w:pos="566"/>
        </w:tabs>
        <w:spacing w:after="0" w:line="240" w:lineRule="exact"/>
        <w:ind w:firstLine="566"/>
        <w:jc w:val="both"/>
        <w:rPr>
          <w:rFonts w:ascii="Times New Roman" w:eastAsia="Times New Roman" w:hAnsi="Times New Roman" w:cs="Times New Roman"/>
          <w:color w:val="000000" w:themeColor="text1"/>
          <w:sz w:val="24"/>
          <w:szCs w:val="18"/>
          <w:lang w:eastAsia="tr-TR"/>
        </w:rPr>
      </w:pPr>
      <w:r w:rsidRPr="002E4F1E">
        <w:rPr>
          <w:rFonts w:ascii="Times New Roman" w:eastAsia="Times New Roman" w:hAnsi="Times New Roman" w:cs="Times New Roman"/>
          <w:color w:val="000000" w:themeColor="text1"/>
          <w:sz w:val="24"/>
          <w:szCs w:val="18"/>
          <w:lang w:eastAsia="tr-TR"/>
        </w:rPr>
        <w:t>(2) Kâğıt üzerinde düzenlenecek sözleşmelerde, “Sözleşmenin bir nüshasını elden aldım.” şeklindeki ibarenin finansal tüketici tarafından yazılmasının sağlanması zorunludur. Görme engelli tüketicilerde bu şart aranmaz.</w:t>
      </w: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Times New Roman"/>
          <w:color w:val="000000" w:themeColor="text1"/>
          <w:sz w:val="24"/>
          <w:szCs w:val="18"/>
          <w:lang w:eastAsia="tr-TR"/>
        </w:rPr>
        <w:t>(3) Sözleşmeler kapsamında ücret alınabilecek her bir ürün veya hizmet için finansal tüketicinin onayının alınması zorunludur. Sözleşmede ücreti belirlenmiş olan ürün ve hizmetler haricinde bir ürün veya hizmetin kuruluşlar tarafından ücret karşılığı verilebilmesi için işlemin gerçekleştirildiği alanın yapısına uygun bir şekilde, finansal tüketiciye işlem öncesinde ücrete ilişkin bilgi verilmesi ve finansal tüketicinin onayının alınması gerekmektedir. Kuruluşlar tarafından finansal tüketicinin onayının alındığı ispat edilemediği takdirde, onay alınmamış sayılır.”</w:t>
      </w:r>
    </w:p>
    <w:p w:rsidR="002E4F1E" w:rsidRPr="002E4F1E" w:rsidRDefault="002E4F1E" w:rsidP="002E4F1E">
      <w:pPr>
        <w:spacing w:before="100" w:beforeAutospacing="1" w:after="100" w:afterAutospacing="1" w:line="300" w:lineRule="atLeast"/>
        <w:jc w:val="both"/>
        <w:rPr>
          <w:rFonts w:ascii="Times New Roman" w:eastAsia="Times New Roman" w:hAnsi="Times New Roman" w:cs="Arial"/>
          <w:color w:val="000000" w:themeColor="text1"/>
          <w:sz w:val="24"/>
          <w:szCs w:val="15"/>
          <w:lang w:eastAsia="tr-TR"/>
        </w:rPr>
      </w:pPr>
      <w:proofErr w:type="gramStart"/>
      <w:r w:rsidRPr="002E4F1E">
        <w:rPr>
          <w:rFonts w:ascii="Times New Roman" w:eastAsia="Times New Roman" w:hAnsi="Times New Roman" w:cs="Arial"/>
          <w:color w:val="000000" w:themeColor="text1"/>
          <w:sz w:val="24"/>
          <w:szCs w:val="15"/>
          <w:lang w:eastAsia="tr-TR"/>
        </w:rPr>
        <w:t xml:space="preserve">(4) Finansal tüketiciler ile yapılacak sözleşmeler kapsamında sunulacak ürün veya hizmetlerin ücret tarifesini ve bilgi verilmesi gereken diğer hususları göstermek üzere sözleşmeye ilişkin her bir ürün veya hizmetin asgari olarak; adı ya da tanımı, vadesi ya da süresi, tahsil edilecek faiz, kâr payı veya ücret kalemleri ile bunların tahsil yöntemi, geçerli olduğu süre, geçerlilik süresi sonunda yapılacak değişikliğin tutarı, oranı ya da değişikliğin hangi esasa göre yapılacağı hususlarını içerecek şekilde bilgilendirme formu hazırlanması zorunludur. </w:t>
      </w:r>
      <w:proofErr w:type="gramEnd"/>
      <w:r w:rsidRPr="002E4F1E">
        <w:rPr>
          <w:rFonts w:ascii="Times New Roman" w:eastAsia="Times New Roman" w:hAnsi="Times New Roman" w:cs="Arial"/>
          <w:color w:val="000000" w:themeColor="text1"/>
          <w:sz w:val="24"/>
          <w:szCs w:val="15"/>
          <w:lang w:eastAsia="tr-TR"/>
        </w:rPr>
        <w:t>Bilgilendirme formu sözleşmenin ayrılmaz bir parçasıdır. Sözleşmenin yazılı olarak kurulması durumunda bu formun taraflarca imzalanmış bir nüshasının finansal tüketiciye verilmesi zorunludur. Kalıcı veri saklayıcısı ve telefon aracılığıyla kurulan sözleşmelerde finansal tüketici kullanılan araca uygun şekilde bilgilendirilir. İspat yükü kuruluşlara aittir.</w:t>
      </w:r>
    </w:p>
    <w:p w:rsidR="002E4F1E" w:rsidRPr="002E4F1E" w:rsidRDefault="002E4F1E" w:rsidP="002E4F1E">
      <w:pPr>
        <w:jc w:val="both"/>
        <w:rPr>
          <w:rFonts w:ascii="Times New Roman" w:eastAsia="Times New Roman" w:hAnsi="Times New Roman" w:cs="Arial"/>
          <w:color w:val="000000" w:themeColor="text1"/>
          <w:sz w:val="24"/>
          <w:szCs w:val="15"/>
          <w:lang w:eastAsia="tr-TR"/>
        </w:rPr>
      </w:pPr>
      <w:r w:rsidRPr="002E4F1E">
        <w:rPr>
          <w:rFonts w:ascii="Times New Roman" w:eastAsia="Times New Roman" w:hAnsi="Times New Roman" w:cs="Arial"/>
          <w:color w:val="000000" w:themeColor="text1"/>
          <w:sz w:val="24"/>
          <w:szCs w:val="15"/>
          <w:lang w:eastAsia="tr-TR"/>
        </w:rPr>
        <w:t>(5) Kuruluşlar tarafından sunulan ürün veya hizmetlere ilişkin sigorta sözleşmelerinin, ürün veya hizmetlere ilişkin sözleşmelerden ayrı olarak düzenlenmesi zorunludur.</w:t>
      </w:r>
    </w:p>
    <w:p w:rsidR="002E4F1E" w:rsidRPr="002E4F1E" w:rsidRDefault="002E4F1E" w:rsidP="002E4F1E">
      <w:pPr>
        <w:jc w:val="both"/>
        <w:rPr>
          <w:rFonts w:ascii="Times New Roman" w:eastAsia="Times New Roman" w:hAnsi="Times New Roman" w:cs="Arial"/>
          <w:color w:val="000000" w:themeColor="text1"/>
          <w:sz w:val="24"/>
          <w:szCs w:val="15"/>
          <w:lang w:eastAsia="tr-TR"/>
        </w:rPr>
      </w:pPr>
    </w:p>
    <w:p w:rsidR="002E4F1E" w:rsidRPr="002E4F1E" w:rsidRDefault="002E4F1E" w:rsidP="002E4F1E">
      <w:pPr>
        <w:jc w:val="both"/>
        <w:rPr>
          <w:rFonts w:ascii="Times New Roman" w:hAnsi="Times New Roman"/>
          <w:color w:val="000000" w:themeColor="text1"/>
          <w:sz w:val="24"/>
        </w:rPr>
      </w:pPr>
      <w:r w:rsidRPr="002E4F1E">
        <w:rPr>
          <w:rFonts w:ascii="Times New Roman" w:eastAsia="Times New Roman" w:hAnsi="Times New Roman" w:cs="Arial"/>
          <w:color w:val="000000" w:themeColor="text1"/>
          <w:sz w:val="24"/>
          <w:szCs w:val="15"/>
          <w:lang w:eastAsia="tr-TR"/>
        </w:rPr>
        <w:t>…</w:t>
      </w:r>
    </w:p>
    <w:sectPr w:rsidR="002E4F1E" w:rsidRPr="002E4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1E"/>
    <w:rsid w:val="002E4F1E"/>
    <w:rsid w:val="00830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C444"/>
  <w15:chartTrackingRefBased/>
  <w15:docId w15:val="{72018181-DF4F-4751-AF65-A344CF33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2E4F1E"/>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464361">
      <w:bodyDiv w:val="1"/>
      <w:marLeft w:val="0"/>
      <w:marRight w:val="0"/>
      <w:marTop w:val="0"/>
      <w:marBottom w:val="0"/>
      <w:divBdr>
        <w:top w:val="none" w:sz="0" w:space="0" w:color="auto"/>
        <w:left w:val="none" w:sz="0" w:space="0" w:color="auto"/>
        <w:bottom w:val="none" w:sz="0" w:space="0" w:color="auto"/>
        <w:right w:val="none" w:sz="0" w:space="0" w:color="auto"/>
      </w:divBdr>
      <w:divsChild>
        <w:div w:id="1291012529">
          <w:marLeft w:val="0"/>
          <w:marRight w:val="0"/>
          <w:marTop w:val="100"/>
          <w:marBottom w:val="100"/>
          <w:divBdr>
            <w:top w:val="none" w:sz="0" w:space="0" w:color="auto"/>
            <w:left w:val="none" w:sz="0" w:space="0" w:color="auto"/>
            <w:bottom w:val="none" w:sz="0" w:space="0" w:color="auto"/>
            <w:right w:val="none" w:sz="0" w:space="0" w:color="auto"/>
          </w:divBdr>
          <w:divsChild>
            <w:div w:id="68617488">
              <w:marLeft w:val="0"/>
              <w:marRight w:val="0"/>
              <w:marTop w:val="0"/>
              <w:marBottom w:val="0"/>
              <w:divBdr>
                <w:top w:val="none" w:sz="0" w:space="0" w:color="auto"/>
                <w:left w:val="none" w:sz="0" w:space="0" w:color="auto"/>
                <w:bottom w:val="none" w:sz="0" w:space="0" w:color="auto"/>
                <w:right w:val="none" w:sz="0" w:space="0" w:color="auto"/>
              </w:divBdr>
              <w:divsChild>
                <w:div w:id="1451435995">
                  <w:marLeft w:val="0"/>
                  <w:marRight w:val="0"/>
                  <w:marTop w:val="0"/>
                  <w:marBottom w:val="0"/>
                  <w:divBdr>
                    <w:top w:val="none" w:sz="0" w:space="0" w:color="auto"/>
                    <w:left w:val="none" w:sz="0" w:space="0" w:color="auto"/>
                    <w:bottom w:val="none" w:sz="0" w:space="0" w:color="auto"/>
                    <w:right w:val="none" w:sz="0" w:space="0" w:color="auto"/>
                  </w:divBdr>
                  <w:divsChild>
                    <w:div w:id="1204638912">
                      <w:marLeft w:val="0"/>
                      <w:marRight w:val="0"/>
                      <w:marTop w:val="0"/>
                      <w:marBottom w:val="0"/>
                      <w:divBdr>
                        <w:top w:val="none" w:sz="0" w:space="0" w:color="auto"/>
                        <w:left w:val="none" w:sz="0" w:space="0" w:color="auto"/>
                        <w:bottom w:val="none" w:sz="0" w:space="0" w:color="auto"/>
                        <w:right w:val="none" w:sz="0" w:space="0" w:color="auto"/>
                      </w:divBdr>
                      <w:divsChild>
                        <w:div w:id="1761170400">
                          <w:marLeft w:val="0"/>
                          <w:marRight w:val="0"/>
                          <w:marTop w:val="0"/>
                          <w:marBottom w:val="0"/>
                          <w:divBdr>
                            <w:top w:val="none" w:sz="0" w:space="0" w:color="auto"/>
                            <w:left w:val="none" w:sz="0" w:space="0" w:color="auto"/>
                            <w:bottom w:val="none" w:sz="0" w:space="0" w:color="auto"/>
                            <w:right w:val="none" w:sz="0" w:space="0" w:color="auto"/>
                          </w:divBdr>
                          <w:divsChild>
                            <w:div w:id="27290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21412">
      <w:bodyDiv w:val="1"/>
      <w:marLeft w:val="0"/>
      <w:marRight w:val="0"/>
      <w:marTop w:val="0"/>
      <w:marBottom w:val="0"/>
      <w:divBdr>
        <w:top w:val="none" w:sz="0" w:space="0" w:color="auto"/>
        <w:left w:val="none" w:sz="0" w:space="0" w:color="auto"/>
        <w:bottom w:val="none" w:sz="0" w:space="0" w:color="auto"/>
        <w:right w:val="none" w:sz="0" w:space="0" w:color="auto"/>
      </w:divBdr>
      <w:divsChild>
        <w:div w:id="414933542">
          <w:marLeft w:val="0"/>
          <w:marRight w:val="0"/>
          <w:marTop w:val="100"/>
          <w:marBottom w:val="100"/>
          <w:divBdr>
            <w:top w:val="none" w:sz="0" w:space="0" w:color="auto"/>
            <w:left w:val="none" w:sz="0" w:space="0" w:color="auto"/>
            <w:bottom w:val="none" w:sz="0" w:space="0" w:color="auto"/>
            <w:right w:val="none" w:sz="0" w:space="0" w:color="auto"/>
          </w:divBdr>
          <w:divsChild>
            <w:div w:id="6685436">
              <w:marLeft w:val="0"/>
              <w:marRight w:val="0"/>
              <w:marTop w:val="0"/>
              <w:marBottom w:val="0"/>
              <w:divBdr>
                <w:top w:val="none" w:sz="0" w:space="0" w:color="auto"/>
                <w:left w:val="none" w:sz="0" w:space="0" w:color="auto"/>
                <w:bottom w:val="none" w:sz="0" w:space="0" w:color="auto"/>
                <w:right w:val="none" w:sz="0" w:space="0" w:color="auto"/>
              </w:divBdr>
              <w:divsChild>
                <w:div w:id="2085762175">
                  <w:marLeft w:val="0"/>
                  <w:marRight w:val="0"/>
                  <w:marTop w:val="0"/>
                  <w:marBottom w:val="0"/>
                  <w:divBdr>
                    <w:top w:val="none" w:sz="0" w:space="0" w:color="auto"/>
                    <w:left w:val="none" w:sz="0" w:space="0" w:color="auto"/>
                    <w:bottom w:val="none" w:sz="0" w:space="0" w:color="auto"/>
                    <w:right w:val="none" w:sz="0" w:space="0" w:color="auto"/>
                  </w:divBdr>
                  <w:divsChild>
                    <w:div w:id="1852838553">
                      <w:marLeft w:val="0"/>
                      <w:marRight w:val="0"/>
                      <w:marTop w:val="0"/>
                      <w:marBottom w:val="0"/>
                      <w:divBdr>
                        <w:top w:val="none" w:sz="0" w:space="0" w:color="auto"/>
                        <w:left w:val="none" w:sz="0" w:space="0" w:color="auto"/>
                        <w:bottom w:val="none" w:sz="0" w:space="0" w:color="auto"/>
                        <w:right w:val="none" w:sz="0" w:space="0" w:color="auto"/>
                      </w:divBdr>
                      <w:divsChild>
                        <w:div w:id="702874440">
                          <w:marLeft w:val="0"/>
                          <w:marRight w:val="0"/>
                          <w:marTop w:val="0"/>
                          <w:marBottom w:val="0"/>
                          <w:divBdr>
                            <w:top w:val="none" w:sz="0" w:space="0" w:color="auto"/>
                            <w:left w:val="none" w:sz="0" w:space="0" w:color="auto"/>
                            <w:bottom w:val="none" w:sz="0" w:space="0" w:color="auto"/>
                            <w:right w:val="none" w:sz="0" w:space="0" w:color="auto"/>
                          </w:divBdr>
                          <w:divsChild>
                            <w:div w:id="11591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 Kılıç</dc:creator>
  <cp:keywords/>
  <dc:description/>
  <cp:lastModifiedBy>Sabit Kılıç</cp:lastModifiedBy>
  <cp:revision>1</cp:revision>
  <dcterms:created xsi:type="dcterms:W3CDTF">2020-02-11T07:20:00Z</dcterms:created>
  <dcterms:modified xsi:type="dcterms:W3CDTF">2020-02-11T07:30:00Z</dcterms:modified>
</cp:coreProperties>
</file>