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0E808" w14:textId="77777777" w:rsidR="004759A5" w:rsidRDefault="00C66544" w:rsidP="00EA6C7C">
      <w:pPr>
        <w:jc w:val="center"/>
        <w:rPr>
          <w:b/>
          <w:sz w:val="28"/>
          <w:szCs w:val="28"/>
          <w:lang w:val="en-GB"/>
        </w:rPr>
      </w:pPr>
      <w:bookmarkStart w:id="0" w:name="_GoBack"/>
      <w:bookmarkEnd w:id="0"/>
      <w:r>
        <w:rPr>
          <w:b/>
          <w:sz w:val="28"/>
          <w:szCs w:val="28"/>
          <w:lang w:val="en-GB"/>
        </w:rPr>
        <w:t xml:space="preserve">Additional </w:t>
      </w:r>
      <w:r w:rsidR="003C15AF">
        <w:rPr>
          <w:b/>
          <w:sz w:val="28"/>
          <w:szCs w:val="28"/>
          <w:lang w:val="en-GB"/>
        </w:rPr>
        <w:t>information about the Contract Notice</w:t>
      </w:r>
    </w:p>
    <w:p w14:paraId="2F468894" w14:textId="77777777" w:rsidR="0085404F" w:rsidRDefault="0085404F" w:rsidP="00EA6C7C">
      <w:pPr>
        <w:jc w:val="center"/>
        <w:rPr>
          <w:rStyle w:val="Gl"/>
          <w:bCs/>
          <w:szCs w:val="24"/>
          <w:lang w:val="en-GB"/>
        </w:rPr>
      </w:pPr>
      <w:r w:rsidRPr="0085404F">
        <w:rPr>
          <w:rStyle w:val="Gl"/>
          <w:bCs/>
          <w:szCs w:val="24"/>
          <w:lang w:val="en-GB"/>
        </w:rPr>
        <w:t>PROCUREMENT OF PERSONNEL-BASED SERVICES FOR THE EMPLOYMENT OF 822 PERSONNEL UNDER THE SOCIAL SAFETY NET PROGRAMME BETWEEN 01 JANUARY 2026 AND 31 JULY 2026</w:t>
      </w:r>
    </w:p>
    <w:p w14:paraId="58D26694" w14:textId="0D8E830F" w:rsidR="004759A5" w:rsidRDefault="0044213B" w:rsidP="00EA6C7C">
      <w:pPr>
        <w:jc w:val="center"/>
        <w:rPr>
          <w:b/>
          <w:sz w:val="28"/>
          <w:szCs w:val="28"/>
          <w:lang w:val="en-GB"/>
        </w:rPr>
      </w:pPr>
      <w:r w:rsidRPr="000024CC">
        <w:rPr>
          <w:rStyle w:val="Gl"/>
          <w:b w:val="0"/>
          <w:bCs/>
          <w:szCs w:val="24"/>
          <w:lang w:val="en-GB"/>
        </w:rPr>
        <w:t>Europe (</w:t>
      </w:r>
      <w:r w:rsidRPr="000024CC">
        <w:rPr>
          <w:rStyle w:val="Vurgu"/>
          <w:b/>
          <w:bCs/>
          <w:i w:val="0"/>
          <w:szCs w:val="24"/>
          <w:lang w:val="en-GB"/>
        </w:rPr>
        <w:t>non-EU) Türkiye</w:t>
      </w:r>
    </w:p>
    <w:p w14:paraId="6E36A0F9" w14:textId="03A074F3" w:rsidR="00EA6C7C" w:rsidRPr="004759A5" w:rsidRDefault="00EA6C7C" w:rsidP="00C3074F">
      <w:pPr>
        <w:spacing w:before="0" w:after="0"/>
        <w:rPr>
          <w:rStyle w:val="Gl"/>
          <w:rFonts w:ascii="Arial" w:hAnsi="Arial"/>
          <w:b w:val="0"/>
          <w:sz w:val="28"/>
          <w:szCs w:val="28"/>
          <w:highlight w:val="yellow"/>
          <w:lang w:val="en-GB"/>
        </w:rPr>
      </w:pPr>
    </w:p>
    <w:p w14:paraId="20618759" w14:textId="77777777" w:rsidR="009A3842" w:rsidRPr="00E916CF" w:rsidRDefault="009A3842" w:rsidP="00C3074F">
      <w:pPr>
        <w:pStyle w:val="PRAGHeading2"/>
        <w:keepNext/>
        <w:spacing w:before="240" w:after="120" w:line="240" w:lineRule="atLeast"/>
        <w:ind w:left="425" w:hanging="425"/>
        <w:rPr>
          <w:lang w:val="en-GB"/>
        </w:rPr>
      </w:pPr>
      <w:r w:rsidRPr="00E916CF">
        <w:rPr>
          <w:rStyle w:val="Gl"/>
          <w:sz w:val="22"/>
          <w:szCs w:val="22"/>
          <w:lang w:val="en-GB"/>
        </w:rPr>
        <w:t>Nature of contract</w:t>
      </w:r>
    </w:p>
    <w:p w14:paraId="589219D4" w14:textId="2B26DAF7" w:rsidR="009A3842" w:rsidRDefault="0044213B" w:rsidP="00C3074F">
      <w:pPr>
        <w:pStyle w:val="PRAGHeading2"/>
        <w:numPr>
          <w:ilvl w:val="0"/>
          <w:numId w:val="0"/>
        </w:numPr>
        <w:spacing w:before="0" w:after="120" w:line="240" w:lineRule="atLeast"/>
        <w:ind w:firstLine="360"/>
        <w:rPr>
          <w:rStyle w:val="Vurgu"/>
          <w:i w:val="0"/>
          <w:sz w:val="22"/>
          <w:szCs w:val="22"/>
          <w:lang w:val="en-GB"/>
        </w:rPr>
      </w:pPr>
      <w:r>
        <w:rPr>
          <w:rStyle w:val="Gl"/>
          <w:b w:val="0"/>
          <w:sz w:val="22"/>
          <w:szCs w:val="22"/>
          <w:highlight w:val="lightGray"/>
          <w:lang w:val="en-GB"/>
        </w:rPr>
        <w:t>Fee-based</w:t>
      </w:r>
    </w:p>
    <w:p w14:paraId="27C26D14" w14:textId="537951B9" w:rsidR="005407B9" w:rsidRPr="00E27999" w:rsidRDefault="005407B9" w:rsidP="0044213B">
      <w:pPr>
        <w:spacing w:before="0" w:after="120" w:line="240" w:lineRule="atLeast"/>
        <w:rPr>
          <w:rStyle w:val="Gl"/>
          <w:b w:val="0"/>
          <w:color w:val="1F497D"/>
        </w:rPr>
      </w:pPr>
    </w:p>
    <w:p w14:paraId="68DF593A" w14:textId="77777777" w:rsidR="00AA22A5" w:rsidRPr="00DD2F41" w:rsidRDefault="00AA22A5" w:rsidP="00C3074F">
      <w:pPr>
        <w:pStyle w:val="PRAGHeading2"/>
        <w:spacing w:before="240" w:after="120" w:line="240" w:lineRule="atLeast"/>
        <w:ind w:left="425" w:hanging="425"/>
        <w:rPr>
          <w:rStyle w:val="Gl"/>
          <w:sz w:val="22"/>
          <w:szCs w:val="22"/>
          <w:lang w:val="en-GB"/>
        </w:rPr>
      </w:pPr>
      <w:r w:rsidRPr="00DD2F41">
        <w:rPr>
          <w:rStyle w:val="Gl"/>
          <w:sz w:val="22"/>
          <w:szCs w:val="22"/>
          <w:lang w:val="en-GB"/>
        </w:rPr>
        <w:t>Programme</w:t>
      </w:r>
      <w:r>
        <w:rPr>
          <w:rStyle w:val="Gl"/>
          <w:sz w:val="22"/>
          <w:szCs w:val="22"/>
          <w:lang w:val="en-GB"/>
        </w:rPr>
        <w:t xml:space="preserve"> title</w:t>
      </w:r>
    </w:p>
    <w:p w14:paraId="5B6EF26A" w14:textId="77777777" w:rsidR="00AA22A5" w:rsidRPr="003776B0" w:rsidRDefault="00AA22A5" w:rsidP="00C3074F">
      <w:pPr>
        <w:pStyle w:val="PRAGHeading2"/>
        <w:numPr>
          <w:ilvl w:val="0"/>
          <w:numId w:val="0"/>
        </w:numPr>
        <w:spacing w:before="0" w:after="120" w:line="240" w:lineRule="atLeast"/>
        <w:ind w:left="426"/>
        <w:rPr>
          <w:lang w:val="en-GB"/>
        </w:rPr>
      </w:pPr>
      <w:r w:rsidRPr="00602FA2">
        <w:rPr>
          <w:lang w:val="en-GB"/>
        </w:rPr>
        <w:t xml:space="preserve">&lt; </w:t>
      </w:r>
      <w:r w:rsidRPr="00E477B2">
        <w:rPr>
          <w:rStyle w:val="Vurgu"/>
          <w:i w:val="0"/>
          <w:sz w:val="22"/>
          <w:szCs w:val="22"/>
          <w:highlight w:val="yellow"/>
          <w:lang w:val="en-GB"/>
        </w:rPr>
        <w:t>Please specify the programme title mentioned in the applicable financing agreement/ financing decision</w:t>
      </w:r>
      <w:r w:rsidRPr="00602FA2">
        <w:rPr>
          <w:lang w:val="en-GB"/>
        </w:rPr>
        <w:t>&gt;</w:t>
      </w:r>
    </w:p>
    <w:p w14:paraId="4A56BF5F" w14:textId="12E474F0" w:rsidR="00CA6501" w:rsidRPr="0044213B" w:rsidRDefault="00B2271A" w:rsidP="00C3074F">
      <w:pPr>
        <w:pStyle w:val="PRAGHeading2"/>
        <w:spacing w:before="240" w:after="120" w:line="240" w:lineRule="atLeast"/>
        <w:ind w:left="425" w:hanging="425"/>
        <w:rPr>
          <w:rStyle w:val="Gl"/>
          <w:sz w:val="22"/>
          <w:szCs w:val="22"/>
        </w:rPr>
      </w:pPr>
      <w:r w:rsidRPr="00836307">
        <w:rPr>
          <w:rStyle w:val="Gl"/>
          <w:sz w:val="22"/>
          <w:szCs w:val="22"/>
          <w:lang w:val="en-GB"/>
        </w:rPr>
        <w:t>Financing</w:t>
      </w:r>
    </w:p>
    <w:p w14:paraId="6166E97C" w14:textId="3393A4C7" w:rsidR="0044213B" w:rsidRPr="0085404F" w:rsidRDefault="0044213B" w:rsidP="0044213B">
      <w:pPr>
        <w:pStyle w:val="PRAGHeading2"/>
        <w:numPr>
          <w:ilvl w:val="0"/>
          <w:numId w:val="0"/>
        </w:numPr>
        <w:spacing w:before="240" w:after="120" w:line="240" w:lineRule="atLeast"/>
        <w:ind w:left="425"/>
        <w:rPr>
          <w:rStyle w:val="Gl"/>
          <w:sz w:val="22"/>
          <w:szCs w:val="22"/>
          <w:lang w:val="en-US"/>
        </w:rPr>
      </w:pPr>
      <w:r>
        <w:rPr>
          <w:rStyle w:val="Gl"/>
          <w:sz w:val="22"/>
          <w:szCs w:val="22"/>
          <w:lang w:val="en-GB"/>
        </w:rPr>
        <w:t xml:space="preserve">IPA-III </w:t>
      </w:r>
      <w:r w:rsidRPr="0085404F">
        <w:rPr>
          <w:sz w:val="22"/>
          <w:szCs w:val="22"/>
          <w:lang w:val="en-US" w:eastAsia="tr-TR"/>
        </w:rPr>
        <w:t xml:space="preserve">general budget of the EU (100 %)  </w:t>
      </w:r>
      <w:r>
        <w:rPr>
          <w:sz w:val="22"/>
          <w:szCs w:val="22"/>
          <w:lang w:val="en-GB"/>
        </w:rPr>
        <w:t>NDGI/2023/445247</w:t>
      </w:r>
    </w:p>
    <w:p w14:paraId="65F2053B" w14:textId="267EDBB4" w:rsidR="00AA22A5" w:rsidRDefault="00F72244">
      <w:pPr>
        <w:pStyle w:val="PRAGHeading2"/>
        <w:spacing w:before="240" w:after="120" w:line="240" w:lineRule="atLeast"/>
        <w:ind w:left="425" w:hanging="425"/>
        <w:rPr>
          <w:rStyle w:val="Gl"/>
          <w:sz w:val="22"/>
          <w:szCs w:val="22"/>
          <w:lang w:val="en-GB"/>
        </w:rPr>
      </w:pPr>
      <w:r w:rsidRPr="00F72244">
        <w:rPr>
          <w:rStyle w:val="Gl"/>
          <w:sz w:val="22"/>
          <w:szCs w:val="22"/>
          <w:lang w:val="en-GB"/>
        </w:rPr>
        <w:t>Legal basis, e</w:t>
      </w:r>
      <w:r w:rsidR="00AA22A5" w:rsidRPr="00F72244">
        <w:rPr>
          <w:rStyle w:val="Gl"/>
          <w:sz w:val="22"/>
          <w:szCs w:val="22"/>
          <w:lang w:val="en-GB"/>
        </w:rPr>
        <w:t>ligibility and rules of origin</w:t>
      </w:r>
    </w:p>
    <w:p w14:paraId="6CB94CC9" w14:textId="64F28005" w:rsidR="00C65DBA" w:rsidRPr="00F72244" w:rsidRDefault="00C65DBA" w:rsidP="00C3074F">
      <w:pPr>
        <w:pStyle w:val="PRAGHeading2"/>
        <w:numPr>
          <w:ilvl w:val="0"/>
          <w:numId w:val="0"/>
        </w:numPr>
        <w:spacing w:before="240" w:after="120" w:line="240" w:lineRule="atLeast"/>
        <w:ind w:left="425"/>
        <w:jc w:val="center"/>
        <w:rPr>
          <w:rStyle w:val="Gl"/>
          <w:sz w:val="22"/>
          <w:szCs w:val="22"/>
          <w:lang w:val="en-GB"/>
        </w:rPr>
      </w:pPr>
      <w:r>
        <w:rPr>
          <w:rStyle w:val="Gl"/>
          <w:sz w:val="22"/>
          <w:szCs w:val="22"/>
          <w:lang w:val="en-GB"/>
        </w:rPr>
        <w:t>*****</w:t>
      </w:r>
    </w:p>
    <w:p w14:paraId="7D66943A" w14:textId="77777777" w:rsidR="00787845" w:rsidRPr="0085404F" w:rsidRDefault="00787845" w:rsidP="00787845">
      <w:pPr>
        <w:pStyle w:val="PRAGHeading2"/>
        <w:numPr>
          <w:ilvl w:val="0"/>
          <w:numId w:val="0"/>
        </w:numPr>
        <w:ind w:left="426"/>
        <w:jc w:val="both"/>
        <w:rPr>
          <w:sz w:val="22"/>
          <w:szCs w:val="22"/>
          <w:lang w:val="en-US"/>
        </w:rPr>
      </w:pPr>
      <w:r w:rsidRPr="0085404F">
        <w:rPr>
          <w:sz w:val="22"/>
          <w:szCs w:val="22"/>
          <w:lang w:val="en-US"/>
        </w:rPr>
        <w:t>The legal basis of this procedure is Regulation (EU) No 236/2014 of the European Parliament and of the Council of 11 March 2014 laying down common rules and procedures for the implementation of the Union's instruments for financing external action and Regulation (EU) No 231/2014 of the European Parliament and of the Council of 11.3.2014 establishing an Instrument for Pre-Accession Assistance (IPA II), OJ L 77, 15.3.2014, p. 11. See Annex A2 of the practical guide.</w:t>
      </w:r>
    </w:p>
    <w:p w14:paraId="635181F0" w14:textId="77777777" w:rsidR="00787845" w:rsidRPr="0085404F" w:rsidRDefault="00787845" w:rsidP="00787845">
      <w:pPr>
        <w:pStyle w:val="PRAGHeading2"/>
        <w:numPr>
          <w:ilvl w:val="0"/>
          <w:numId w:val="0"/>
        </w:numPr>
        <w:ind w:left="426"/>
        <w:jc w:val="both"/>
        <w:rPr>
          <w:sz w:val="22"/>
          <w:szCs w:val="22"/>
          <w:lang w:val="en-US"/>
        </w:rPr>
      </w:pPr>
      <w:r w:rsidRPr="0085404F">
        <w:rPr>
          <w:sz w:val="22"/>
          <w:szCs w:val="22"/>
          <w:lang w:val="en-US"/>
        </w:rPr>
        <w:t>Participation is open to all natural persons who are nationals of and legal persons (participating either individually or in a grouping – consortium – of candidates/tenderers) which are effectively established in a  Member State of the European Union or in a eligible country or territory as defined under Article 8 of Regulation (EU) No 236/2014 establishing common rules and procedures for the implementation of the Union's instruments for external action (CIR) for the applicable instrument under which the contract is financed. </w:t>
      </w:r>
    </w:p>
    <w:p w14:paraId="48F2B153" w14:textId="77777777" w:rsidR="00787845" w:rsidRPr="0085404F" w:rsidRDefault="00787845" w:rsidP="00787845">
      <w:pPr>
        <w:pStyle w:val="PRAGHeading2"/>
        <w:numPr>
          <w:ilvl w:val="0"/>
          <w:numId w:val="0"/>
        </w:numPr>
        <w:ind w:left="426"/>
        <w:jc w:val="both"/>
        <w:rPr>
          <w:sz w:val="22"/>
          <w:szCs w:val="22"/>
          <w:lang w:val="en-US"/>
        </w:rPr>
      </w:pPr>
      <w:r w:rsidRPr="0085404F">
        <w:rPr>
          <w:sz w:val="22"/>
          <w:szCs w:val="22"/>
          <w:lang w:val="en-US"/>
        </w:rPr>
        <w:t>Participation is also open to international organisations.</w:t>
      </w:r>
    </w:p>
    <w:p w14:paraId="21898E87" w14:textId="77777777" w:rsidR="00787845" w:rsidRPr="0085404F" w:rsidRDefault="00787845" w:rsidP="00787845">
      <w:pPr>
        <w:pStyle w:val="PRAGHeading2"/>
        <w:numPr>
          <w:ilvl w:val="0"/>
          <w:numId w:val="0"/>
        </w:numPr>
        <w:ind w:left="426"/>
        <w:jc w:val="both"/>
        <w:rPr>
          <w:sz w:val="22"/>
          <w:szCs w:val="22"/>
          <w:lang w:val="en-US"/>
        </w:rPr>
      </w:pPr>
      <w:r w:rsidRPr="0085404F">
        <w:rPr>
          <w:sz w:val="22"/>
          <w:szCs w:val="22"/>
          <w:lang w:val="en-US"/>
        </w:rPr>
        <w:t>For UK candidates or tenderers: Please be aware that following the entry into force of the EU-UK Withdrawal Agreement* on 1 February 2020 and in particular Articles 127(6), 137 and 138, the references to natural or legal persons residing or established in a Member State of the European Union and to goods originating from an eligible country, as defined under Regulation (EU) No 36/2014** and Annex IV of the ACP-EU Partnership Agreement***, are to be understood as including natural or legal persons residing or established in, and to goods originating in, the United Kingdom ****. Those persons and goods are therefore eligible under this call.  </w:t>
      </w:r>
    </w:p>
    <w:p w14:paraId="352D8E8F" w14:textId="77777777" w:rsidR="00787845" w:rsidRPr="0085404F" w:rsidRDefault="00787845" w:rsidP="00787845">
      <w:pPr>
        <w:pStyle w:val="PRAGHeading2"/>
        <w:numPr>
          <w:ilvl w:val="0"/>
          <w:numId w:val="0"/>
        </w:numPr>
        <w:ind w:left="426"/>
        <w:jc w:val="both"/>
        <w:rPr>
          <w:sz w:val="22"/>
          <w:szCs w:val="22"/>
          <w:lang w:val="en-US"/>
        </w:rPr>
      </w:pPr>
      <w:r w:rsidRPr="0085404F">
        <w:rPr>
          <w:sz w:val="22"/>
          <w:szCs w:val="22"/>
          <w:lang w:val="en-US"/>
        </w:rPr>
        <w:t>* Agreement on the withdrawal of the United Kingdom of Great Britain and Northern Ireland from the European Union and the European Atomic Energy Community. </w:t>
      </w:r>
    </w:p>
    <w:p w14:paraId="2FC2E2A9" w14:textId="77777777" w:rsidR="00787845" w:rsidRPr="0085404F" w:rsidRDefault="00787845" w:rsidP="00787845">
      <w:pPr>
        <w:pStyle w:val="PRAGHeading2"/>
        <w:numPr>
          <w:ilvl w:val="0"/>
          <w:numId w:val="0"/>
        </w:numPr>
        <w:ind w:left="426"/>
        <w:jc w:val="both"/>
        <w:rPr>
          <w:sz w:val="22"/>
          <w:szCs w:val="22"/>
          <w:lang w:val="en-US"/>
        </w:rPr>
      </w:pPr>
      <w:r w:rsidRPr="0085404F">
        <w:rPr>
          <w:sz w:val="22"/>
          <w:szCs w:val="22"/>
          <w:lang w:val="en-US"/>
        </w:rPr>
        <w:t>** Regulation (EU) No 236/2014 of the European Parliament and of the Council of 11 March 2014 laying down common rules and procedures for the implementation of the Union's instruments for financing external action. </w:t>
      </w:r>
    </w:p>
    <w:p w14:paraId="627E37A6" w14:textId="77777777" w:rsidR="00787845" w:rsidRPr="0085404F" w:rsidRDefault="00787845" w:rsidP="00787845">
      <w:pPr>
        <w:pStyle w:val="PRAGHeading2"/>
        <w:numPr>
          <w:ilvl w:val="0"/>
          <w:numId w:val="0"/>
        </w:numPr>
        <w:ind w:left="426"/>
        <w:jc w:val="both"/>
        <w:rPr>
          <w:sz w:val="22"/>
          <w:szCs w:val="22"/>
          <w:lang w:val="en-US"/>
        </w:rPr>
      </w:pPr>
      <w:r w:rsidRPr="0085404F">
        <w:rPr>
          <w:sz w:val="22"/>
          <w:szCs w:val="22"/>
          <w:lang w:val="en-US"/>
        </w:rPr>
        <w:t>*** Annex IV to the ACP-EU Partnership Agreement, as revised by Decision 1/2014 of the ACP-EU Council of Ministers (OJ L196/40, 3.7.2014). </w:t>
      </w:r>
    </w:p>
    <w:p w14:paraId="1F29B55F" w14:textId="77777777" w:rsidR="00787845" w:rsidRPr="0085404F" w:rsidRDefault="00787845" w:rsidP="00787845">
      <w:pPr>
        <w:pStyle w:val="PRAGHeading2"/>
        <w:numPr>
          <w:ilvl w:val="0"/>
          <w:numId w:val="0"/>
        </w:numPr>
        <w:ind w:left="426"/>
        <w:jc w:val="both"/>
        <w:rPr>
          <w:sz w:val="22"/>
          <w:szCs w:val="22"/>
          <w:lang w:val="en-US"/>
        </w:rPr>
      </w:pPr>
      <w:r w:rsidRPr="0085404F">
        <w:rPr>
          <w:sz w:val="22"/>
          <w:szCs w:val="22"/>
          <w:lang w:val="en-US"/>
        </w:rPr>
        <w:t xml:space="preserve">**** Including the Overseas Countries and Territories having special relations with the United </w:t>
      </w:r>
      <w:r w:rsidRPr="0085404F">
        <w:rPr>
          <w:sz w:val="22"/>
          <w:szCs w:val="22"/>
          <w:lang w:val="en-US"/>
        </w:rPr>
        <w:lastRenderedPageBreak/>
        <w:t>Kingdom, as laid down in Part Four and Annex II of the TFEU.</w:t>
      </w:r>
    </w:p>
    <w:p w14:paraId="1E1FBDBA" w14:textId="77777777" w:rsidR="00787845" w:rsidRPr="0074547A" w:rsidRDefault="00787845" w:rsidP="00787845">
      <w:pPr>
        <w:spacing w:before="0" w:after="120" w:line="240" w:lineRule="atLeast"/>
        <w:jc w:val="both"/>
        <w:rPr>
          <w:iCs/>
          <w:sz w:val="22"/>
          <w:szCs w:val="22"/>
          <w:lang w:val="en-IE"/>
        </w:rPr>
      </w:pPr>
    </w:p>
    <w:p w14:paraId="42BE5599" w14:textId="77777777" w:rsidR="00787845" w:rsidRPr="0074547A" w:rsidRDefault="00787845" w:rsidP="00787845">
      <w:pPr>
        <w:pStyle w:val="paragraph"/>
        <w:spacing w:before="0" w:beforeAutospacing="0" w:after="120" w:afterAutospacing="0" w:line="240" w:lineRule="atLeast"/>
        <w:ind w:left="426"/>
        <w:jc w:val="both"/>
        <w:textAlignment w:val="baseline"/>
        <w:rPr>
          <w:rFonts w:ascii="Segoe UI" w:hAnsi="Segoe UI" w:cs="Segoe UI"/>
          <w:sz w:val="22"/>
          <w:szCs w:val="22"/>
          <w:lang w:val="en-GB"/>
        </w:rPr>
      </w:pPr>
      <w:bookmarkStart w:id="1" w:name="_Hlk161766772"/>
      <w:r w:rsidRPr="0074547A">
        <w:rPr>
          <w:iCs/>
          <w:sz w:val="22"/>
          <w:szCs w:val="22"/>
          <w:lang w:val="en-IE"/>
        </w:rPr>
        <w:t xml:space="preserve">The legal basis of this procedure is </w:t>
      </w:r>
      <w:bookmarkEnd w:id="1"/>
      <w:r w:rsidRPr="0074547A">
        <w:rPr>
          <w:iCs/>
          <w:sz w:val="22"/>
          <w:szCs w:val="22"/>
          <w:lang w:val="en-IE"/>
        </w:rPr>
        <w:t xml:space="preserve">Regulation (EU) No  2021/1529 establishing the Instrument for Pre-accession Assistance (IPA III). See Annex a2a1 of the practical guide. </w:t>
      </w:r>
    </w:p>
    <w:p w14:paraId="1AE69DEF" w14:textId="77777777" w:rsidR="00787845" w:rsidRPr="0074547A" w:rsidRDefault="00787845" w:rsidP="00787845">
      <w:pPr>
        <w:pStyle w:val="paragraph"/>
        <w:spacing w:before="0" w:beforeAutospacing="0" w:after="120" w:afterAutospacing="0" w:line="240" w:lineRule="atLeast"/>
        <w:ind w:left="426"/>
        <w:jc w:val="both"/>
        <w:textAlignment w:val="baseline"/>
        <w:rPr>
          <w:iCs/>
          <w:sz w:val="22"/>
          <w:szCs w:val="22"/>
          <w:lang w:val="en-IE"/>
        </w:rPr>
      </w:pPr>
      <w:r w:rsidRPr="0074547A">
        <w:rPr>
          <w:iCs/>
          <w:sz w:val="22"/>
          <w:szCs w:val="22"/>
          <w:lang w:val="en-IE"/>
        </w:rPr>
        <w:t xml:space="preserve">For this contract award procedure, participation is open to all natural persons who are nationals of and legal persons (participating either individually or in a grouping – consortium – of candidates/tenderers) which are effectively established in a  Member State of the European Union or in an eligible country or territory as defined under Article 11 of Regulation (EU) No 2021/1529 establishing the Instrument for Pre-accession Assistance (IPA III). </w:t>
      </w:r>
    </w:p>
    <w:p w14:paraId="1C459B04" w14:textId="77777777" w:rsidR="00787845" w:rsidRPr="0074547A" w:rsidRDefault="00787845" w:rsidP="00787845">
      <w:pPr>
        <w:spacing w:before="0" w:after="120" w:line="240" w:lineRule="atLeast"/>
        <w:ind w:left="426"/>
        <w:jc w:val="both"/>
        <w:rPr>
          <w:iCs/>
          <w:sz w:val="22"/>
          <w:szCs w:val="22"/>
          <w:lang w:val="en-IE"/>
        </w:rPr>
      </w:pPr>
      <w:bookmarkStart w:id="2" w:name="_Hlk168489221"/>
      <w:r w:rsidRPr="0074547A">
        <w:rPr>
          <w:iCs/>
          <w:sz w:val="22"/>
          <w:szCs w:val="22"/>
          <w:lang w:val="en-IE"/>
        </w:rPr>
        <w:t>Participation is also open to international and regional organisations.</w:t>
      </w:r>
    </w:p>
    <w:bookmarkEnd w:id="2"/>
    <w:p w14:paraId="2CC705E2" w14:textId="5364F7D9" w:rsidR="00F72244" w:rsidRPr="00C3074F" w:rsidRDefault="00F72244" w:rsidP="00C3074F">
      <w:pPr>
        <w:pStyle w:val="paragraph"/>
        <w:spacing w:before="0" w:beforeAutospacing="0" w:after="120" w:afterAutospacing="0" w:line="240" w:lineRule="atLeast"/>
        <w:ind w:left="993" w:hanging="567"/>
        <w:jc w:val="both"/>
        <w:textAlignment w:val="baseline"/>
        <w:rPr>
          <w:rStyle w:val="eop"/>
          <w:sz w:val="22"/>
          <w:szCs w:val="22"/>
          <w:shd w:val="clear" w:color="auto" w:fill="C0C0C0"/>
          <w:lang w:val="en-US"/>
        </w:rPr>
      </w:pPr>
    </w:p>
    <w:p w14:paraId="6BA7DCA6" w14:textId="77777777" w:rsidR="00AA22A5" w:rsidRDefault="00AA22A5" w:rsidP="00C3074F">
      <w:pPr>
        <w:pStyle w:val="PRAGHeading2"/>
        <w:spacing w:before="240" w:after="120" w:line="240" w:lineRule="atLeast"/>
        <w:ind w:left="425" w:hanging="425"/>
        <w:rPr>
          <w:rStyle w:val="Gl"/>
          <w:sz w:val="22"/>
          <w:szCs w:val="22"/>
          <w:lang w:val="en-GB"/>
        </w:rPr>
      </w:pPr>
      <w:bookmarkStart w:id="3" w:name="_DV_M201"/>
      <w:bookmarkEnd w:id="3"/>
      <w:r>
        <w:rPr>
          <w:rStyle w:val="Gl"/>
          <w:sz w:val="22"/>
          <w:szCs w:val="22"/>
          <w:lang w:val="en-GB"/>
        </w:rPr>
        <w:t xml:space="preserve">Candidature </w:t>
      </w:r>
    </w:p>
    <w:p w14:paraId="49A37A9F" w14:textId="77777777" w:rsidR="00787845" w:rsidRPr="00787845" w:rsidRDefault="00787845" w:rsidP="00787845">
      <w:pPr>
        <w:pStyle w:val="PRAGHeading2"/>
        <w:numPr>
          <w:ilvl w:val="0"/>
          <w:numId w:val="0"/>
        </w:numPr>
        <w:spacing w:before="0" w:after="120" w:line="240" w:lineRule="atLeast"/>
        <w:ind w:left="426"/>
        <w:jc w:val="both"/>
        <w:rPr>
          <w:rStyle w:val="Gl"/>
          <w:b w:val="0"/>
          <w:sz w:val="22"/>
          <w:szCs w:val="22"/>
          <w:lang w:val="en-GB"/>
        </w:rPr>
      </w:pPr>
      <w:r w:rsidRPr="00787845">
        <w:rPr>
          <w:rStyle w:val="Gl"/>
          <w:b w:val="0"/>
          <w:sz w:val="22"/>
          <w:szCs w:val="22"/>
          <w:lang w:val="en-GB"/>
        </w:rPr>
        <w:t>All eligible natural and legal persons (as per item 4 above) or groupings of such persons (consortia) may participate or tender.</w:t>
      </w:r>
    </w:p>
    <w:p w14:paraId="1FA3EF6B" w14:textId="77777777" w:rsidR="00787845" w:rsidRPr="00787845" w:rsidRDefault="00787845" w:rsidP="00787845">
      <w:pPr>
        <w:pStyle w:val="PRAGHeading2"/>
        <w:numPr>
          <w:ilvl w:val="0"/>
          <w:numId w:val="0"/>
        </w:numPr>
        <w:spacing w:before="0" w:after="120" w:line="240" w:lineRule="atLeast"/>
        <w:ind w:left="426"/>
        <w:jc w:val="both"/>
        <w:rPr>
          <w:rStyle w:val="Gl"/>
          <w:b w:val="0"/>
          <w:sz w:val="22"/>
          <w:szCs w:val="22"/>
          <w:lang w:val="en-GB"/>
        </w:rPr>
      </w:pPr>
      <w:r w:rsidRPr="00787845">
        <w:rPr>
          <w:rStyle w:val="Gl"/>
          <w:b w:val="0"/>
          <w:sz w:val="22"/>
          <w:szCs w:val="22"/>
          <w:lang w:val="en-GB"/>
        </w:rPr>
        <w:t>A consortium may be a permanent, legally established grouping or a grouping which has been constituted informally for a specific procurement procedure. All members of a consortium (i.e., the leader and all other members) are jointly and severally liable to the contracting authority.</w:t>
      </w:r>
    </w:p>
    <w:p w14:paraId="2B049E17" w14:textId="6F24A48D" w:rsidR="00AA22A5" w:rsidRDefault="00787845" w:rsidP="00787845">
      <w:pPr>
        <w:pStyle w:val="PRAGHeading2"/>
        <w:numPr>
          <w:ilvl w:val="0"/>
          <w:numId w:val="0"/>
        </w:numPr>
        <w:spacing w:before="0" w:after="120" w:line="240" w:lineRule="atLeast"/>
        <w:ind w:left="426"/>
        <w:jc w:val="both"/>
        <w:rPr>
          <w:rStyle w:val="Gl"/>
          <w:b w:val="0"/>
          <w:sz w:val="22"/>
          <w:szCs w:val="22"/>
          <w:lang w:val="en-GB"/>
        </w:rPr>
      </w:pPr>
      <w:r w:rsidRPr="00787845">
        <w:rPr>
          <w:rStyle w:val="Gl"/>
          <w:b w:val="0"/>
          <w:sz w:val="22"/>
          <w:szCs w:val="22"/>
          <w:lang w:val="en-GB"/>
        </w:rPr>
        <w:t>The participation or tender of an ineligible natural or legal person will result in the automatic exclusion of that person. In particular, if that ineligible person belongs to a consortium, the whole consortium will be excluded.</w:t>
      </w:r>
    </w:p>
    <w:p w14:paraId="6B31B3FE" w14:textId="447985CB" w:rsidR="00AA22A5" w:rsidRDefault="00AA22A5" w:rsidP="00C3074F">
      <w:pPr>
        <w:pStyle w:val="PRAGHeading2"/>
        <w:spacing w:before="240" w:after="120" w:line="240" w:lineRule="atLeast"/>
        <w:ind w:left="425" w:hanging="425"/>
        <w:rPr>
          <w:rStyle w:val="Gl"/>
          <w:sz w:val="22"/>
          <w:szCs w:val="22"/>
          <w:lang w:val="en-GB"/>
        </w:rPr>
      </w:pPr>
      <w:r>
        <w:rPr>
          <w:rStyle w:val="Gl"/>
          <w:sz w:val="22"/>
          <w:szCs w:val="22"/>
          <w:lang w:val="en-GB"/>
        </w:rPr>
        <w:t xml:space="preserve">Number of </w:t>
      </w:r>
      <w:r w:rsidR="000E2749">
        <w:rPr>
          <w:rStyle w:val="Gl"/>
          <w:sz w:val="22"/>
          <w:szCs w:val="22"/>
          <w:lang w:val="en-GB"/>
        </w:rPr>
        <w:t>request</w:t>
      </w:r>
      <w:r w:rsidR="00276FFE">
        <w:rPr>
          <w:rStyle w:val="Gl"/>
          <w:sz w:val="22"/>
          <w:szCs w:val="22"/>
          <w:lang w:val="en-GB"/>
        </w:rPr>
        <w:t>s</w:t>
      </w:r>
      <w:r w:rsidR="000E2749">
        <w:rPr>
          <w:rStyle w:val="Gl"/>
          <w:sz w:val="22"/>
          <w:szCs w:val="22"/>
          <w:lang w:val="en-GB"/>
        </w:rPr>
        <w:t xml:space="preserve"> to participate</w:t>
      </w:r>
      <w:r w:rsidR="00C80539">
        <w:rPr>
          <w:rStyle w:val="Gl"/>
          <w:sz w:val="22"/>
          <w:szCs w:val="22"/>
          <w:lang w:val="en-GB"/>
        </w:rPr>
        <w:t xml:space="preserve"> or tenders</w:t>
      </w:r>
    </w:p>
    <w:p w14:paraId="373CAB13" w14:textId="77777777" w:rsidR="00787845" w:rsidRPr="0074547A" w:rsidRDefault="00787845" w:rsidP="00787845">
      <w:pPr>
        <w:pStyle w:val="PRAGHeading2"/>
        <w:numPr>
          <w:ilvl w:val="0"/>
          <w:numId w:val="0"/>
        </w:numPr>
        <w:spacing w:before="0" w:after="120" w:line="240" w:lineRule="atLeast"/>
        <w:ind w:left="426"/>
        <w:jc w:val="both"/>
        <w:rPr>
          <w:rStyle w:val="Gl"/>
          <w:b w:val="0"/>
          <w:sz w:val="22"/>
          <w:szCs w:val="22"/>
          <w:lang w:val="en-GB"/>
        </w:rPr>
      </w:pPr>
      <w:r w:rsidRPr="0074547A">
        <w:rPr>
          <w:rStyle w:val="Gl"/>
          <w:b w:val="0"/>
          <w:sz w:val="22"/>
          <w:szCs w:val="22"/>
          <w:lang w:val="en-GB"/>
        </w:rPr>
        <w:t xml:space="preserve">No more than one request to participate or tender can be submitted by a natural or legal person whatever the form of participation (as an individual legal entity or as leader or member of a consortium submitting a request to participate or tender). In the event that a natural or legal person submits more than one request to participate or tender, all requests to participate or tenders in which that person has participated will be excluded. </w:t>
      </w:r>
    </w:p>
    <w:p w14:paraId="74504DA8" w14:textId="2D7BD258" w:rsidR="00C80539" w:rsidRPr="00FA24DB" w:rsidRDefault="00787845" w:rsidP="00787845">
      <w:pPr>
        <w:pStyle w:val="Blockquote"/>
        <w:spacing w:before="0" w:after="120" w:line="240" w:lineRule="atLeast"/>
        <w:ind w:left="426" w:right="-48"/>
        <w:jc w:val="both"/>
        <w:rPr>
          <w:sz w:val="22"/>
          <w:szCs w:val="22"/>
          <w:lang w:val="en-GB"/>
        </w:rPr>
      </w:pPr>
      <w:r w:rsidRPr="0074547A">
        <w:rPr>
          <w:sz w:val="22"/>
          <w:szCs w:val="22"/>
          <w:lang w:val="en-GB"/>
        </w:rPr>
        <w:t>In case of lots, the candidates or tenderers may submit only one request to participate or tender per lot. Contracts will be awarded lot by lot and each lot will form a separate contract. If the tenderer is awarded more than one lot, a single contract may be concluded covering all those lots</w:t>
      </w:r>
    </w:p>
    <w:p w14:paraId="2612F24B" w14:textId="4F80270E" w:rsidR="003E0003" w:rsidRPr="00361BF6" w:rsidRDefault="00A95A76" w:rsidP="00C3074F">
      <w:pPr>
        <w:pStyle w:val="PRAGHeading2"/>
        <w:spacing w:before="240" w:after="120" w:line="240" w:lineRule="atLeast"/>
        <w:ind w:left="425" w:hanging="425"/>
        <w:rPr>
          <w:rStyle w:val="Gl"/>
          <w:rFonts w:ascii="Minion Pro" w:hAnsi="Minion Pro" w:cs="Minion Pro"/>
          <w:snapToGrid/>
          <w:color w:val="000000"/>
          <w:sz w:val="22"/>
          <w:szCs w:val="22"/>
          <w:lang w:val="en-GB" w:eastAsia="en-GB"/>
        </w:rPr>
      </w:pPr>
      <w:r w:rsidRPr="002108FA">
        <w:rPr>
          <w:rStyle w:val="normaltextrun"/>
          <w:b/>
          <w:bCs/>
          <w:color w:val="000000"/>
          <w:sz w:val="22"/>
          <w:szCs w:val="22"/>
          <w:shd w:val="clear" w:color="auto" w:fill="FFFFFF"/>
          <w:lang w:val="en-IE"/>
        </w:rPr>
        <w:t>[</w:t>
      </w:r>
      <w:r>
        <w:rPr>
          <w:rStyle w:val="normaltextrun"/>
          <w:color w:val="000000"/>
          <w:sz w:val="22"/>
          <w:szCs w:val="22"/>
          <w:shd w:val="clear" w:color="auto" w:fill="FFFF00"/>
          <w:lang w:val="en-IE"/>
        </w:rPr>
        <w:t xml:space="preserve">For service and works contracts </w:t>
      </w:r>
      <w:r w:rsidR="00355942">
        <w:rPr>
          <w:rStyle w:val="normaltextrun"/>
          <w:color w:val="000000"/>
          <w:sz w:val="22"/>
          <w:szCs w:val="22"/>
          <w:shd w:val="clear" w:color="auto" w:fill="FFFF00"/>
          <w:lang w:val="en-IE"/>
        </w:rPr>
        <w:t xml:space="preserve">under </w:t>
      </w:r>
      <w:r>
        <w:rPr>
          <w:rStyle w:val="normaltextrun"/>
          <w:color w:val="000000"/>
          <w:sz w:val="22"/>
          <w:szCs w:val="22"/>
          <w:u w:val="single"/>
          <w:shd w:val="clear" w:color="auto" w:fill="FFFF00"/>
          <w:lang w:val="en-IE"/>
        </w:rPr>
        <w:t>restricted</w:t>
      </w:r>
      <w:r>
        <w:rPr>
          <w:rStyle w:val="normaltextrun"/>
          <w:color w:val="000000"/>
          <w:sz w:val="22"/>
          <w:szCs w:val="22"/>
          <w:shd w:val="clear" w:color="auto" w:fill="FFFF00"/>
          <w:lang w:val="en-IE"/>
        </w:rPr>
        <w:t> procedure</w:t>
      </w:r>
      <w:r w:rsidRPr="00075D67">
        <w:rPr>
          <w:rStyle w:val="normaltextrun"/>
          <w:color w:val="000000"/>
          <w:sz w:val="22"/>
          <w:szCs w:val="22"/>
          <w:highlight w:val="lightGray"/>
          <w:shd w:val="clear" w:color="auto" w:fill="FFFFFF"/>
          <w:lang w:val="en-IE"/>
        </w:rPr>
        <w:t>:</w:t>
      </w:r>
    </w:p>
    <w:p w14:paraId="3FE5E151" w14:textId="02671B28" w:rsidR="003E0003" w:rsidRPr="00361BF6" w:rsidRDefault="003E0003" w:rsidP="00C3074F">
      <w:pPr>
        <w:pStyle w:val="PRAGHeading2"/>
        <w:numPr>
          <w:ilvl w:val="0"/>
          <w:numId w:val="0"/>
        </w:numPr>
        <w:spacing w:before="0" w:after="120" w:line="240" w:lineRule="atLeast"/>
        <w:ind w:left="426"/>
        <w:rPr>
          <w:rStyle w:val="Gl"/>
          <w:sz w:val="22"/>
          <w:szCs w:val="22"/>
          <w:highlight w:val="lightGray"/>
          <w:lang w:val="en-GB"/>
        </w:rPr>
      </w:pPr>
      <w:r w:rsidRPr="00361BF6">
        <w:rPr>
          <w:rStyle w:val="Gl"/>
          <w:sz w:val="22"/>
          <w:szCs w:val="22"/>
          <w:highlight w:val="lightGray"/>
          <w:lang w:val="en-GB"/>
        </w:rPr>
        <w:t>Grounds for exclusion</w:t>
      </w:r>
    </w:p>
    <w:p w14:paraId="7101B17F" w14:textId="537D8BF2" w:rsidR="003E0003" w:rsidRPr="00361BF6" w:rsidRDefault="003E0003" w:rsidP="00C3074F">
      <w:pPr>
        <w:spacing w:before="0" w:after="120" w:line="240" w:lineRule="atLeast"/>
        <w:ind w:left="426"/>
        <w:jc w:val="both"/>
        <w:rPr>
          <w:b/>
          <w:sz w:val="22"/>
          <w:szCs w:val="22"/>
          <w:highlight w:val="lightGray"/>
          <w:lang w:val="en-GB"/>
        </w:rPr>
      </w:pPr>
      <w:r w:rsidRPr="00361BF6">
        <w:rPr>
          <w:sz w:val="22"/>
          <w:szCs w:val="22"/>
          <w:highlight w:val="lightGray"/>
          <w:lang w:val="en-GB"/>
        </w:rPr>
        <w:t xml:space="preserve">Candidates must submit a signed declaration, included in the request to participate form, to the effect that they are not in any of the situations listed in Section </w:t>
      </w:r>
      <w:r w:rsidR="00DA573F">
        <w:rPr>
          <w:sz w:val="22"/>
          <w:szCs w:val="22"/>
          <w:highlight w:val="lightGray"/>
          <w:lang w:val="en-GB"/>
        </w:rPr>
        <w:t>2.4.2.1.</w:t>
      </w:r>
      <w:r w:rsidRPr="00361BF6">
        <w:rPr>
          <w:sz w:val="22"/>
          <w:szCs w:val="22"/>
          <w:highlight w:val="lightGray"/>
          <w:lang w:val="en-GB"/>
        </w:rPr>
        <w:t xml:space="preserve"> of the </w:t>
      </w:r>
      <w:r w:rsidRPr="00361BF6">
        <w:rPr>
          <w:b/>
          <w:sz w:val="22"/>
          <w:szCs w:val="22"/>
          <w:highlight w:val="lightGray"/>
          <w:lang w:val="en-GB"/>
        </w:rPr>
        <w:t xml:space="preserve">practical guide (PRAG). </w:t>
      </w:r>
      <w:r w:rsidRPr="00361BF6">
        <w:rPr>
          <w:sz w:val="22"/>
          <w:szCs w:val="22"/>
          <w:highlight w:val="lightGray"/>
          <w:lang w:val="en-GB"/>
        </w:rPr>
        <w:t>Where the candidate intends to rely on capacity providing entities or subcontractor(s), he/she must provide the same declaration signed by this/these entity(ies).</w:t>
      </w:r>
    </w:p>
    <w:p w14:paraId="69034381" w14:textId="082E8432" w:rsidR="003E0003" w:rsidRDefault="003E0003" w:rsidP="00C3074F">
      <w:pPr>
        <w:pStyle w:val="Blockquote"/>
        <w:spacing w:before="0" w:after="120" w:line="240" w:lineRule="atLeast"/>
        <w:ind w:left="426" w:right="26"/>
        <w:jc w:val="both"/>
        <w:rPr>
          <w:sz w:val="22"/>
          <w:szCs w:val="22"/>
          <w:highlight w:val="lightGray"/>
          <w:lang w:val="en-GB"/>
        </w:rPr>
      </w:pPr>
      <w:r w:rsidRPr="00361BF6">
        <w:rPr>
          <w:sz w:val="22"/>
          <w:szCs w:val="22"/>
          <w:highlight w:val="lightGray"/>
          <w:lang w:val="en-GB"/>
        </w:rPr>
        <w:t>Candidates included in the lists of EU restrictive measures (see Section 2.4. of the PRAG) at the moment of the award decision cannot be awarded the contract</w:t>
      </w:r>
      <w:r w:rsidR="00D831C6">
        <w:rPr>
          <w:rStyle w:val="DipnotBavurusu"/>
          <w:sz w:val="22"/>
          <w:szCs w:val="22"/>
          <w:highlight w:val="lightGray"/>
          <w:lang w:val="en-GB"/>
        </w:rPr>
        <w:footnoteReference w:id="1"/>
      </w:r>
      <w:r w:rsidRPr="00361BF6">
        <w:rPr>
          <w:sz w:val="22"/>
          <w:szCs w:val="22"/>
          <w:highlight w:val="lightGray"/>
          <w:lang w:val="en-GB"/>
        </w:rPr>
        <w:t>.</w:t>
      </w:r>
    </w:p>
    <w:p w14:paraId="7B9229AF" w14:textId="77777777" w:rsidR="00787845" w:rsidRPr="00361BF6" w:rsidRDefault="00787845" w:rsidP="00C3074F">
      <w:pPr>
        <w:pStyle w:val="Blockquote"/>
        <w:spacing w:before="0" w:after="120" w:line="240" w:lineRule="atLeast"/>
        <w:ind w:left="426" w:right="26"/>
        <w:jc w:val="both"/>
        <w:rPr>
          <w:sz w:val="22"/>
          <w:szCs w:val="22"/>
          <w:highlight w:val="lightGray"/>
          <w:lang w:val="en-GB"/>
        </w:rPr>
      </w:pPr>
    </w:p>
    <w:p w14:paraId="3D419B22" w14:textId="77777777" w:rsidR="003E0003" w:rsidRPr="00361BF6" w:rsidRDefault="003E0003" w:rsidP="00C3074F">
      <w:pPr>
        <w:pStyle w:val="PRAGHeading2"/>
        <w:spacing w:before="240" w:after="120" w:line="240" w:lineRule="atLeast"/>
        <w:ind w:left="426" w:hanging="426"/>
        <w:rPr>
          <w:rStyle w:val="Gl"/>
          <w:sz w:val="22"/>
          <w:szCs w:val="22"/>
          <w:highlight w:val="lightGray"/>
          <w:lang w:val="en-GB"/>
        </w:rPr>
      </w:pPr>
      <w:r w:rsidRPr="00361BF6">
        <w:rPr>
          <w:rStyle w:val="Gl"/>
          <w:sz w:val="22"/>
          <w:szCs w:val="22"/>
          <w:highlight w:val="lightGray"/>
          <w:lang w:val="en-GB"/>
        </w:rPr>
        <w:t xml:space="preserve">Sub-contracting </w:t>
      </w:r>
    </w:p>
    <w:p w14:paraId="337E9E8F" w14:textId="77777777" w:rsidR="00787845" w:rsidRPr="0074547A" w:rsidRDefault="00787845" w:rsidP="00787845">
      <w:pPr>
        <w:pStyle w:val="PRAGHeading2"/>
        <w:numPr>
          <w:ilvl w:val="0"/>
          <w:numId w:val="0"/>
        </w:numPr>
        <w:spacing w:before="0" w:after="120" w:line="240" w:lineRule="atLeast"/>
        <w:ind w:left="426"/>
        <w:jc w:val="both"/>
        <w:rPr>
          <w:rStyle w:val="Gl"/>
          <w:sz w:val="22"/>
          <w:szCs w:val="22"/>
          <w:lang w:val="en-GB"/>
        </w:rPr>
      </w:pPr>
      <w:r w:rsidRPr="0085404F">
        <w:rPr>
          <w:rStyle w:val="Vurgu"/>
          <w:i w:val="0"/>
          <w:sz w:val="22"/>
          <w:szCs w:val="22"/>
          <w:lang w:val="en-US"/>
        </w:rPr>
        <w:t>Sub-contracting is not allowed.</w:t>
      </w:r>
    </w:p>
    <w:p w14:paraId="45F2B7EE" w14:textId="1C8C0650" w:rsidR="00AA22A5" w:rsidRPr="00A95A76" w:rsidRDefault="00AA22A5" w:rsidP="00C3074F">
      <w:pPr>
        <w:pStyle w:val="PRAGHeading2"/>
        <w:spacing w:before="240" w:after="120" w:line="240" w:lineRule="atLeast"/>
        <w:ind w:left="426" w:hanging="426"/>
        <w:rPr>
          <w:rStyle w:val="Gl"/>
          <w:sz w:val="22"/>
          <w:szCs w:val="22"/>
          <w:highlight w:val="lightGray"/>
          <w:lang w:val="en-GB"/>
        </w:rPr>
      </w:pPr>
      <w:r w:rsidRPr="00A95A76">
        <w:rPr>
          <w:rStyle w:val="Gl"/>
          <w:sz w:val="22"/>
          <w:szCs w:val="22"/>
          <w:highlight w:val="lightGray"/>
          <w:lang w:val="en-GB"/>
        </w:rPr>
        <w:t xml:space="preserve">Number of </w:t>
      </w:r>
      <w:r w:rsidR="00246FE9" w:rsidRPr="00A95A76">
        <w:rPr>
          <w:rStyle w:val="Gl"/>
          <w:sz w:val="22"/>
          <w:szCs w:val="22"/>
          <w:highlight w:val="lightGray"/>
          <w:lang w:val="en-GB"/>
        </w:rPr>
        <w:t>c</w:t>
      </w:r>
      <w:r w:rsidRPr="00A95A76">
        <w:rPr>
          <w:rStyle w:val="Gl"/>
          <w:sz w:val="22"/>
          <w:szCs w:val="22"/>
          <w:highlight w:val="lightGray"/>
          <w:lang w:val="en-GB"/>
        </w:rPr>
        <w:t xml:space="preserve">andidates to be short-listed </w:t>
      </w:r>
    </w:p>
    <w:p w14:paraId="4E21DDC7" w14:textId="4390FB93" w:rsidR="00787845" w:rsidRDefault="00787845" w:rsidP="00C3074F">
      <w:pPr>
        <w:pStyle w:val="PRAGHeading2"/>
        <w:numPr>
          <w:ilvl w:val="0"/>
          <w:numId w:val="0"/>
        </w:numPr>
        <w:spacing w:before="0" w:after="120" w:line="240" w:lineRule="atLeast"/>
        <w:ind w:left="426"/>
        <w:jc w:val="both"/>
        <w:rPr>
          <w:rStyle w:val="Gl"/>
          <w:b w:val="0"/>
          <w:sz w:val="22"/>
          <w:szCs w:val="22"/>
          <w:lang w:val="en-GB"/>
        </w:rPr>
      </w:pPr>
      <w:r w:rsidRPr="0074547A">
        <w:rPr>
          <w:rStyle w:val="Gl"/>
          <w:b w:val="0"/>
          <w:sz w:val="22"/>
          <w:szCs w:val="22"/>
          <w:lang w:val="en-GB"/>
        </w:rPr>
        <w:lastRenderedPageBreak/>
        <w:t>On the basis of the request to participate received, between 4 and 8 candidates will be invited to submit detailed tenders for this contract. If the number of eligible candidates meeting the selection criteria is less than the minimum of 4, the contracting authority may invite the candidates who satisfy the criteria to submit a tender. If the number of eligible candidates meeting the selection criteria is more than the maximum allowed, the contracting authority will rank them using the re-examination criteria stated below.</w:t>
      </w:r>
    </w:p>
    <w:p w14:paraId="57CE7E2F" w14:textId="2C0DC8EB" w:rsidR="008321A0" w:rsidRPr="00075D67" w:rsidRDefault="008321A0" w:rsidP="00C3074F">
      <w:pPr>
        <w:pStyle w:val="PRAGHeading2"/>
        <w:spacing w:before="240" w:after="120" w:line="240" w:lineRule="atLeast"/>
        <w:ind w:left="426" w:hanging="426"/>
        <w:rPr>
          <w:rStyle w:val="Gl"/>
          <w:sz w:val="22"/>
          <w:szCs w:val="22"/>
          <w:highlight w:val="lightGray"/>
          <w:lang w:val="en-GB"/>
        </w:rPr>
      </w:pPr>
      <w:r w:rsidRPr="00075D67">
        <w:rPr>
          <w:rStyle w:val="Gl"/>
          <w:sz w:val="22"/>
          <w:szCs w:val="22"/>
          <w:highlight w:val="lightGray"/>
          <w:lang w:val="en-GB"/>
        </w:rPr>
        <w:t>Short</w:t>
      </w:r>
      <w:r w:rsidR="00114E7D">
        <w:rPr>
          <w:rStyle w:val="Gl"/>
          <w:sz w:val="22"/>
          <w:szCs w:val="22"/>
          <w:highlight w:val="lightGray"/>
          <w:lang w:val="en-GB"/>
        </w:rPr>
        <w:t>-</w:t>
      </w:r>
      <w:r w:rsidRPr="00075D67">
        <w:rPr>
          <w:rStyle w:val="Gl"/>
          <w:sz w:val="22"/>
          <w:szCs w:val="22"/>
          <w:highlight w:val="lightGray"/>
          <w:lang w:val="en-GB"/>
        </w:rPr>
        <w:t xml:space="preserve">list alliances prohibited </w:t>
      </w:r>
    </w:p>
    <w:p w14:paraId="4B8E02FF" w14:textId="39BF6F61" w:rsidR="008321A0" w:rsidRDefault="008321A0" w:rsidP="00C3074F">
      <w:pPr>
        <w:pStyle w:val="PRAGHeading2"/>
        <w:numPr>
          <w:ilvl w:val="0"/>
          <w:numId w:val="0"/>
        </w:numPr>
        <w:spacing w:before="0" w:after="120" w:line="240" w:lineRule="atLeast"/>
        <w:ind w:left="426"/>
        <w:jc w:val="both"/>
        <w:rPr>
          <w:rStyle w:val="Gl"/>
          <w:b w:val="0"/>
          <w:sz w:val="22"/>
          <w:szCs w:val="22"/>
          <w:lang w:val="en-GB"/>
        </w:rPr>
      </w:pPr>
      <w:r w:rsidRPr="00075D67">
        <w:rPr>
          <w:rStyle w:val="Gl"/>
          <w:b w:val="0"/>
          <w:sz w:val="22"/>
          <w:szCs w:val="22"/>
          <w:highlight w:val="lightGray"/>
          <w:lang w:val="en-GB"/>
        </w:rPr>
        <w:t xml:space="preserve">Any tenders received from tenderers having a different composition that the ones mentioned in the short-listed request to participate forms will be excluded from this restricted tender procedure, unless prior </w:t>
      </w:r>
      <w:r w:rsidR="00DA573F">
        <w:rPr>
          <w:rStyle w:val="Gl"/>
          <w:b w:val="0"/>
          <w:sz w:val="22"/>
          <w:szCs w:val="22"/>
          <w:highlight w:val="lightGray"/>
          <w:lang w:val="en-GB"/>
        </w:rPr>
        <w:t xml:space="preserve">authorisation </w:t>
      </w:r>
      <w:r w:rsidRPr="00075D67">
        <w:rPr>
          <w:rStyle w:val="Gl"/>
          <w:b w:val="0"/>
          <w:sz w:val="22"/>
          <w:szCs w:val="22"/>
          <w:highlight w:val="lightGray"/>
          <w:lang w:val="en-GB"/>
        </w:rPr>
        <w:t>from the contracting authority has been obtained – see practical guide 2.</w:t>
      </w:r>
      <w:r w:rsidR="00DA573F">
        <w:rPr>
          <w:rStyle w:val="Gl"/>
          <w:b w:val="0"/>
          <w:sz w:val="22"/>
          <w:szCs w:val="22"/>
          <w:highlight w:val="lightGray"/>
          <w:lang w:val="en-GB"/>
        </w:rPr>
        <w:t>5.5</w:t>
      </w:r>
      <w:r w:rsidRPr="00075D67">
        <w:rPr>
          <w:rStyle w:val="Gl"/>
          <w:b w:val="0"/>
          <w:sz w:val="22"/>
          <w:szCs w:val="22"/>
          <w:highlight w:val="lightGray"/>
          <w:lang w:val="en-GB"/>
        </w:rPr>
        <w:t xml:space="preserve">. Short-listed candidates may not form alliances or subcontract to each other for the contract in question. </w:t>
      </w:r>
    </w:p>
    <w:p w14:paraId="0020A4D9" w14:textId="77777777" w:rsidR="00787845" w:rsidRDefault="00787845" w:rsidP="00C3074F">
      <w:pPr>
        <w:pStyle w:val="PRAGHeading2"/>
        <w:numPr>
          <w:ilvl w:val="0"/>
          <w:numId w:val="0"/>
        </w:numPr>
        <w:spacing w:before="0" w:after="120" w:line="240" w:lineRule="atLeast"/>
        <w:ind w:left="426"/>
        <w:jc w:val="both"/>
        <w:rPr>
          <w:rStyle w:val="Gl"/>
          <w:b w:val="0"/>
          <w:sz w:val="22"/>
          <w:szCs w:val="22"/>
          <w:lang w:val="en-GB"/>
        </w:rPr>
      </w:pPr>
    </w:p>
    <w:p w14:paraId="2215E12E" w14:textId="77777777" w:rsidR="00AA22A5" w:rsidRPr="00A95A76" w:rsidRDefault="00AA22A5" w:rsidP="00C3074F">
      <w:pPr>
        <w:pStyle w:val="PRAGHeading2"/>
        <w:spacing w:before="240" w:after="120" w:line="240" w:lineRule="atLeast"/>
        <w:ind w:left="426" w:hanging="426"/>
        <w:rPr>
          <w:rStyle w:val="Gl"/>
          <w:sz w:val="22"/>
          <w:szCs w:val="22"/>
          <w:highlight w:val="lightGray"/>
          <w:lang w:val="en-GB"/>
        </w:rPr>
      </w:pPr>
      <w:r w:rsidRPr="00A95A76">
        <w:rPr>
          <w:rStyle w:val="Gl"/>
          <w:sz w:val="22"/>
          <w:szCs w:val="22"/>
          <w:highlight w:val="lightGray"/>
          <w:lang w:val="en-GB"/>
        </w:rPr>
        <w:t xml:space="preserve">Provisional date of </w:t>
      </w:r>
      <w:r w:rsidR="00246FE9" w:rsidRPr="00A95A76">
        <w:rPr>
          <w:rStyle w:val="Gl"/>
          <w:sz w:val="22"/>
          <w:szCs w:val="22"/>
          <w:highlight w:val="lightGray"/>
          <w:lang w:val="en-GB"/>
        </w:rPr>
        <w:t>i</w:t>
      </w:r>
      <w:r w:rsidRPr="00A95A76">
        <w:rPr>
          <w:rStyle w:val="Gl"/>
          <w:sz w:val="22"/>
          <w:szCs w:val="22"/>
          <w:highlight w:val="lightGray"/>
          <w:lang w:val="en-GB"/>
        </w:rPr>
        <w:t xml:space="preserve">nvitation to tender </w:t>
      </w:r>
    </w:p>
    <w:p w14:paraId="3C6C74CF" w14:textId="2E1B5C10" w:rsidR="00AA22A5" w:rsidRPr="0025703B" w:rsidRDefault="00AA22A5" w:rsidP="00C3074F">
      <w:pPr>
        <w:pStyle w:val="PRAGHeading2"/>
        <w:numPr>
          <w:ilvl w:val="0"/>
          <w:numId w:val="0"/>
        </w:numPr>
        <w:spacing w:before="0" w:after="120" w:line="240" w:lineRule="atLeast"/>
        <w:ind w:left="426"/>
        <w:rPr>
          <w:i/>
          <w:highlight w:val="lightGray"/>
          <w:lang w:val="en-GB"/>
        </w:rPr>
      </w:pPr>
      <w:r w:rsidRPr="0025703B">
        <w:rPr>
          <w:rStyle w:val="Vurgu"/>
          <w:i w:val="0"/>
          <w:sz w:val="22"/>
          <w:szCs w:val="22"/>
          <w:highlight w:val="lightGray"/>
          <w:lang w:val="en-GB"/>
        </w:rPr>
        <w:t>&lt;</w:t>
      </w:r>
      <w:r w:rsidR="006A436D">
        <w:rPr>
          <w:rStyle w:val="Vurgu"/>
          <w:i w:val="0"/>
          <w:sz w:val="22"/>
          <w:szCs w:val="22"/>
          <w:highlight w:val="darkGreen"/>
          <w:lang w:val="en-GB"/>
        </w:rPr>
        <w:t>23.12</w:t>
      </w:r>
      <w:r w:rsidR="00787845" w:rsidRPr="00787845">
        <w:rPr>
          <w:rStyle w:val="Vurgu"/>
          <w:i w:val="0"/>
          <w:sz w:val="22"/>
          <w:szCs w:val="22"/>
          <w:highlight w:val="darkGreen"/>
          <w:lang w:val="en-GB"/>
        </w:rPr>
        <w:t>.2025</w:t>
      </w:r>
      <w:r w:rsidRPr="00787845">
        <w:rPr>
          <w:rStyle w:val="Vurgu"/>
          <w:i w:val="0"/>
          <w:sz w:val="22"/>
          <w:szCs w:val="22"/>
          <w:highlight w:val="darkGreen"/>
          <w:lang w:val="en-GB"/>
        </w:rPr>
        <w:t xml:space="preserve"> </w:t>
      </w:r>
      <w:r w:rsidRPr="0025703B">
        <w:rPr>
          <w:rStyle w:val="Vurgu"/>
          <w:i w:val="0"/>
          <w:sz w:val="22"/>
          <w:szCs w:val="22"/>
          <w:highlight w:val="lightGray"/>
          <w:lang w:val="en-GB"/>
        </w:rPr>
        <w:t>&gt;</w:t>
      </w:r>
    </w:p>
    <w:p w14:paraId="27C9ED89" w14:textId="77777777" w:rsidR="00AA22A5" w:rsidRPr="00A95A76" w:rsidRDefault="00AA22A5" w:rsidP="00C3074F">
      <w:pPr>
        <w:pStyle w:val="PRAGHeading2"/>
        <w:spacing w:before="240" w:after="120" w:line="240" w:lineRule="atLeast"/>
        <w:ind w:left="426" w:hanging="426"/>
        <w:rPr>
          <w:rStyle w:val="Gl"/>
          <w:sz w:val="22"/>
          <w:szCs w:val="22"/>
          <w:highlight w:val="lightGray"/>
          <w:lang w:val="en-GB"/>
        </w:rPr>
      </w:pPr>
      <w:r w:rsidRPr="00A95A76">
        <w:rPr>
          <w:rStyle w:val="Gl"/>
          <w:sz w:val="22"/>
          <w:szCs w:val="22"/>
          <w:highlight w:val="lightGray"/>
          <w:lang w:val="en-GB"/>
        </w:rPr>
        <w:t xml:space="preserve">Provisional commencement date of the contract </w:t>
      </w:r>
    </w:p>
    <w:p w14:paraId="08AA6D6D" w14:textId="06614988" w:rsidR="00AA22A5" w:rsidRDefault="00AA22A5" w:rsidP="00C3074F">
      <w:pPr>
        <w:pStyle w:val="PRAGHeading2"/>
        <w:numPr>
          <w:ilvl w:val="0"/>
          <w:numId w:val="0"/>
        </w:numPr>
        <w:spacing w:before="0" w:after="120" w:line="240" w:lineRule="atLeast"/>
        <w:ind w:left="426"/>
        <w:rPr>
          <w:rStyle w:val="Vurgu"/>
          <w:i w:val="0"/>
          <w:sz w:val="22"/>
          <w:szCs w:val="22"/>
          <w:lang w:val="en-GB"/>
        </w:rPr>
      </w:pPr>
      <w:r w:rsidRPr="0025703B">
        <w:rPr>
          <w:rStyle w:val="Vurgu"/>
          <w:i w:val="0"/>
          <w:sz w:val="22"/>
          <w:szCs w:val="22"/>
          <w:highlight w:val="lightGray"/>
          <w:lang w:val="en-GB"/>
        </w:rPr>
        <w:t xml:space="preserve">&lt; </w:t>
      </w:r>
      <w:r w:rsidR="00AD2A99" w:rsidRPr="00AD2A99">
        <w:rPr>
          <w:rStyle w:val="Vurgu"/>
          <w:i w:val="0"/>
          <w:sz w:val="22"/>
          <w:szCs w:val="22"/>
          <w:highlight w:val="darkGreen"/>
          <w:lang w:val="en-GB"/>
        </w:rPr>
        <w:t>01.01.2026</w:t>
      </w:r>
      <w:r w:rsidRPr="0025703B">
        <w:rPr>
          <w:rStyle w:val="Vurgu"/>
          <w:i w:val="0"/>
          <w:sz w:val="22"/>
          <w:szCs w:val="22"/>
          <w:highlight w:val="lightGray"/>
          <w:lang w:val="en-GB"/>
        </w:rPr>
        <w:t>&gt;</w:t>
      </w:r>
      <w:r w:rsidR="00A95A76" w:rsidRPr="00525840">
        <w:rPr>
          <w:rStyle w:val="Vurgu"/>
          <w:b/>
          <w:i w:val="0"/>
          <w:sz w:val="22"/>
          <w:szCs w:val="22"/>
          <w:lang w:val="en-GB"/>
        </w:rPr>
        <w:t>]</w:t>
      </w:r>
    </w:p>
    <w:p w14:paraId="0D349B1C" w14:textId="77777777" w:rsidR="00AA22A5" w:rsidRPr="00C348D5" w:rsidRDefault="00AA22A5" w:rsidP="00C3074F">
      <w:pPr>
        <w:pStyle w:val="PRAGHeading2"/>
        <w:spacing w:before="240" w:after="120" w:line="240" w:lineRule="atLeast"/>
        <w:ind w:left="426" w:hanging="426"/>
        <w:rPr>
          <w:rStyle w:val="Gl"/>
          <w:sz w:val="22"/>
          <w:szCs w:val="22"/>
          <w:lang w:val="en-GB"/>
        </w:rPr>
      </w:pPr>
      <w:r w:rsidRPr="00573723">
        <w:rPr>
          <w:rStyle w:val="Gl"/>
          <w:sz w:val="22"/>
          <w:szCs w:val="22"/>
          <w:lang w:val="en-GB"/>
        </w:rPr>
        <w:t>P</w:t>
      </w:r>
      <w:r w:rsidRPr="0025703B">
        <w:rPr>
          <w:rStyle w:val="Gl"/>
          <w:lang w:val="en-GB"/>
        </w:rPr>
        <w:t>eriod of implementation of tasks</w:t>
      </w:r>
    </w:p>
    <w:p w14:paraId="4B685CF6" w14:textId="7C7300B1" w:rsidR="00A95A76" w:rsidRPr="00C348D5" w:rsidRDefault="00A95A76" w:rsidP="00C3074F">
      <w:pPr>
        <w:pStyle w:val="PRAGHeading2"/>
        <w:numPr>
          <w:ilvl w:val="0"/>
          <w:numId w:val="0"/>
        </w:numPr>
        <w:spacing w:before="0" w:after="120" w:line="240" w:lineRule="atLeast"/>
        <w:ind w:left="567"/>
        <w:rPr>
          <w:rStyle w:val="Gl"/>
          <w:sz w:val="22"/>
          <w:szCs w:val="22"/>
          <w:lang w:val="en-GB"/>
        </w:rPr>
      </w:pPr>
      <w:r w:rsidRPr="00AD2A99">
        <w:rPr>
          <w:rStyle w:val="Vurgu"/>
          <w:i w:val="0"/>
          <w:sz w:val="22"/>
          <w:szCs w:val="22"/>
          <w:highlight w:val="darkGreen"/>
          <w:lang w:val="en-GB"/>
        </w:rPr>
        <w:t>&lt;</w:t>
      </w:r>
      <w:r w:rsidR="00AD2A99" w:rsidRPr="00AD2A99">
        <w:rPr>
          <w:rStyle w:val="Vurgu"/>
          <w:i w:val="0"/>
          <w:sz w:val="22"/>
          <w:szCs w:val="22"/>
          <w:highlight w:val="darkGreen"/>
          <w:lang w:val="en-GB"/>
        </w:rPr>
        <w:t>01.01.2026-31.07.2026</w:t>
      </w:r>
      <w:r w:rsidRPr="00AD2A99">
        <w:rPr>
          <w:rStyle w:val="Vurgu"/>
          <w:i w:val="0"/>
          <w:sz w:val="22"/>
          <w:szCs w:val="22"/>
          <w:highlight w:val="darkGreen"/>
          <w:lang w:val="en-GB"/>
        </w:rPr>
        <w:t>&gt;</w:t>
      </w:r>
    </w:p>
    <w:p w14:paraId="7DC31B1C" w14:textId="77777777" w:rsidR="00A95A76" w:rsidRPr="00573723" w:rsidRDefault="00A95A76" w:rsidP="00C3074F">
      <w:pPr>
        <w:pStyle w:val="PRAGHeading2"/>
        <w:spacing w:before="240" w:after="120" w:line="240" w:lineRule="atLeast"/>
        <w:ind w:left="426" w:hanging="426"/>
        <w:rPr>
          <w:rStyle w:val="Gl"/>
          <w:sz w:val="22"/>
          <w:szCs w:val="22"/>
          <w:lang w:val="en-GB"/>
        </w:rPr>
      </w:pPr>
      <w:r w:rsidRPr="00573723">
        <w:rPr>
          <w:rStyle w:val="Gl"/>
          <w:sz w:val="22"/>
          <w:szCs w:val="22"/>
          <w:lang w:val="en-GB"/>
        </w:rPr>
        <w:t>Language of the procedure</w:t>
      </w:r>
    </w:p>
    <w:p w14:paraId="6CDFA671" w14:textId="067D5B16" w:rsidR="00A95A76" w:rsidRDefault="00A95A76" w:rsidP="00C3074F">
      <w:pPr>
        <w:spacing w:before="0" w:after="120" w:line="240" w:lineRule="atLeast"/>
        <w:ind w:left="426"/>
        <w:jc w:val="both"/>
        <w:rPr>
          <w:sz w:val="22"/>
          <w:szCs w:val="22"/>
          <w:lang w:val="en-GB"/>
        </w:rPr>
      </w:pPr>
      <w:r w:rsidRPr="00214A9F">
        <w:rPr>
          <w:sz w:val="22"/>
          <w:szCs w:val="22"/>
          <w:lang w:val="en-GB"/>
        </w:rPr>
        <w:t xml:space="preserve">All written communications for this tender procedure and contract must be in English. </w:t>
      </w:r>
    </w:p>
    <w:p w14:paraId="5B013D7A" w14:textId="77777777" w:rsidR="00A95A76" w:rsidRPr="00C348D5" w:rsidRDefault="00A95A76" w:rsidP="00C3074F">
      <w:pPr>
        <w:pStyle w:val="PRAGHeading2"/>
        <w:tabs>
          <w:tab w:val="clear" w:pos="567"/>
          <w:tab w:val="num" w:pos="426"/>
        </w:tabs>
        <w:spacing w:before="240" w:after="120" w:line="240" w:lineRule="atLeast"/>
        <w:ind w:hanging="567"/>
        <w:rPr>
          <w:rStyle w:val="Gl"/>
          <w:sz w:val="22"/>
          <w:szCs w:val="22"/>
          <w:lang w:val="en-GB"/>
        </w:rPr>
      </w:pPr>
      <w:r w:rsidRPr="00C348D5">
        <w:rPr>
          <w:rStyle w:val="Gl"/>
          <w:sz w:val="22"/>
          <w:szCs w:val="22"/>
          <w:lang w:val="en-GB"/>
        </w:rPr>
        <w:t>Additional information</w:t>
      </w:r>
    </w:p>
    <w:p w14:paraId="0EFABCF6" w14:textId="77777777" w:rsidR="00AD2A99" w:rsidRPr="0074547A" w:rsidRDefault="00AD2A99" w:rsidP="00AD2A99">
      <w:pPr>
        <w:pStyle w:val="PRAGHeading2"/>
        <w:numPr>
          <w:ilvl w:val="0"/>
          <w:numId w:val="0"/>
        </w:numPr>
        <w:spacing w:before="0" w:after="120" w:line="240" w:lineRule="atLeast"/>
        <w:ind w:left="426"/>
        <w:jc w:val="both"/>
        <w:rPr>
          <w:sz w:val="22"/>
          <w:szCs w:val="22"/>
          <w:lang w:val="en-GB"/>
        </w:rPr>
      </w:pPr>
      <w:r w:rsidRPr="0074547A">
        <w:rPr>
          <w:sz w:val="22"/>
          <w:szCs w:val="22"/>
          <w:lang w:val="en-GB"/>
        </w:rPr>
        <w:t>Financial data to be provided by the candidate in the request to participate form or in the tender submission form must be expressed in TL. Labour cost calculation will be made according to the minimum wage calculation based on the current coefficient determined in accordance with local legislation. The total amount of the offer to be submitted should be based on this calculation.</w:t>
      </w:r>
    </w:p>
    <w:p w14:paraId="442FD99F" w14:textId="63413C4A" w:rsidR="00AD2A99" w:rsidRPr="006D78C9" w:rsidRDefault="00AC223F" w:rsidP="00AD2A99">
      <w:pPr>
        <w:pStyle w:val="PRAGHeading2"/>
        <w:numPr>
          <w:ilvl w:val="0"/>
          <w:numId w:val="0"/>
        </w:numPr>
        <w:spacing w:before="0" w:after="120" w:line="240" w:lineRule="atLeast"/>
        <w:ind w:left="426"/>
        <w:jc w:val="both"/>
        <w:rPr>
          <w:b/>
          <w:sz w:val="22"/>
          <w:szCs w:val="22"/>
          <w:lang w:val="en-GB"/>
        </w:rPr>
      </w:pPr>
      <w:r w:rsidRPr="00AC223F">
        <w:rPr>
          <w:sz w:val="22"/>
          <w:szCs w:val="22"/>
          <w:lang w:val="en-GB"/>
        </w:rPr>
        <w:t>The budget/payment for the works to be carried out under the tender shall be financed 100% from the contract budget of the European Union Delegation to Türkiye and the Ministry of Family and Social Services, signed in July 2023, under the EU IPA III general budget (2</w:t>
      </w:r>
      <w:r>
        <w:rPr>
          <w:sz w:val="22"/>
          <w:szCs w:val="22"/>
          <w:lang w:val="en-GB"/>
        </w:rPr>
        <w:t>023/2023/445247 NDICI-GEO-NEAR)</w:t>
      </w:r>
      <w:r w:rsidR="00AD2A99" w:rsidRPr="0085404F">
        <w:rPr>
          <w:sz w:val="22"/>
          <w:szCs w:val="22"/>
          <w:lang w:val="en-GB"/>
        </w:rPr>
        <w:t>.</w:t>
      </w:r>
    </w:p>
    <w:p w14:paraId="6EB8330A" w14:textId="77777777" w:rsidR="0015410A" w:rsidRDefault="00AA22A5" w:rsidP="00C3074F">
      <w:pPr>
        <w:keepNext/>
        <w:keepLines/>
        <w:spacing w:before="0" w:after="120" w:line="240" w:lineRule="atLeast"/>
        <w:jc w:val="center"/>
        <w:rPr>
          <w:rStyle w:val="Gl"/>
          <w:sz w:val="22"/>
          <w:szCs w:val="22"/>
          <w:lang w:val="en-GB"/>
        </w:rPr>
      </w:pPr>
      <w:r w:rsidRPr="00075D67">
        <w:rPr>
          <w:rStyle w:val="Gl"/>
          <w:sz w:val="22"/>
          <w:szCs w:val="22"/>
          <w:lang w:val="en-GB"/>
        </w:rPr>
        <w:t>SELECTION</w:t>
      </w:r>
      <w:r w:rsidR="0015410A">
        <w:rPr>
          <w:rStyle w:val="Gl"/>
          <w:sz w:val="22"/>
          <w:szCs w:val="22"/>
          <w:lang w:val="en-GB"/>
        </w:rPr>
        <w:t xml:space="preserve"> CRITERIA </w:t>
      </w:r>
    </w:p>
    <w:p w14:paraId="6B48819E" w14:textId="77777777" w:rsidR="00AA22A5" w:rsidRPr="00DD2F41" w:rsidRDefault="00AA22A5" w:rsidP="00C3074F">
      <w:pPr>
        <w:pStyle w:val="PRAGHeading2"/>
        <w:spacing w:before="360" w:after="120" w:line="240" w:lineRule="atLeast"/>
        <w:ind w:left="425" w:hanging="425"/>
        <w:rPr>
          <w:rStyle w:val="Gl"/>
          <w:sz w:val="22"/>
          <w:szCs w:val="22"/>
          <w:lang w:val="en-GB"/>
        </w:rPr>
      </w:pPr>
      <w:r w:rsidRPr="00DD2F41">
        <w:rPr>
          <w:rStyle w:val="Gl"/>
          <w:sz w:val="22"/>
          <w:szCs w:val="22"/>
          <w:lang w:val="en-GB"/>
        </w:rPr>
        <w:t>Selection criteria</w:t>
      </w:r>
    </w:p>
    <w:p w14:paraId="57A183A2" w14:textId="77777777" w:rsidR="00AE0634" w:rsidRPr="00AE0634" w:rsidRDefault="00AE0634" w:rsidP="00C3074F">
      <w:pPr>
        <w:widowControl/>
        <w:spacing w:before="0" w:after="160" w:line="240" w:lineRule="atLeast"/>
        <w:ind w:left="426"/>
        <w:jc w:val="both"/>
        <w:rPr>
          <w:sz w:val="22"/>
          <w:szCs w:val="22"/>
          <w:lang w:val="en-GB"/>
        </w:rPr>
      </w:pPr>
      <w:r w:rsidRPr="00AE0634">
        <w:rPr>
          <w:sz w:val="22"/>
          <w:szCs w:val="22"/>
          <w:lang w:val="en-GB"/>
        </w:rPr>
        <w:t>Capacity-providing entities</w:t>
      </w:r>
    </w:p>
    <w:p w14:paraId="6A43B3CB" w14:textId="716E9B3E" w:rsidR="00AE0634" w:rsidRPr="00AE0634" w:rsidRDefault="00AE0634" w:rsidP="00C3074F">
      <w:pPr>
        <w:widowControl/>
        <w:spacing w:before="0" w:after="160" w:line="240" w:lineRule="atLeast"/>
        <w:ind w:left="426"/>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w:t>
      </w:r>
      <w:r w:rsidR="003335AD">
        <w:rPr>
          <w:sz w:val="22"/>
          <w:szCs w:val="22"/>
          <w:lang w:val="en-GB"/>
        </w:rPr>
        <w:t xml:space="preserve"> </w:t>
      </w:r>
      <w:r w:rsidRPr="00AE0634">
        <w:rPr>
          <w:sz w:val="22"/>
          <w:szCs w:val="22"/>
          <w:lang w:val="en-GB"/>
        </w:rPr>
        <w:t>which it has with them. If the economic operator relies on other entities</w:t>
      </w:r>
      <w:r w:rsidR="00AA11FD">
        <w:rPr>
          <w:sz w:val="22"/>
          <w:szCs w:val="22"/>
          <w:lang w:val="en-GB"/>
        </w:rPr>
        <w:t>,</w:t>
      </w:r>
      <w:r w:rsidRPr="00AE0634">
        <w:rPr>
          <w:sz w:val="22"/>
          <w:szCs w:val="22"/>
          <w:lang w:val="en-GB"/>
        </w:rPr>
        <w:t xml:space="preserve"> it must in that case prove to the contracting authority that it will have at its disposal the resources necessary for</w:t>
      </w:r>
      <w:r w:rsidR="000D53E3">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w:t>
      </w:r>
      <w:r w:rsidR="0080629B">
        <w:rPr>
          <w:sz w:val="22"/>
          <w:szCs w:val="22"/>
          <w:lang w:val="en-GB"/>
        </w:rPr>
        <w:t xml:space="preserve">fulfil </w:t>
      </w:r>
      <w:r w:rsidRPr="00AE0634">
        <w:rPr>
          <w:sz w:val="22"/>
          <w:szCs w:val="22"/>
          <w:lang w:val="en-GB"/>
        </w:rPr>
        <w:t xml:space="preserve">the selection criteria for which the economic operator relies on them. </w:t>
      </w:r>
      <w:r w:rsidRPr="00743351">
        <w:rPr>
          <w:b/>
          <w:sz w:val="22"/>
          <w:szCs w:val="22"/>
          <w:lang w:val="en-GB"/>
        </w:rPr>
        <w:t xml:space="preserve">Furthermore, the data for this third entity for the relevant selection criterion should </w:t>
      </w:r>
      <w:r w:rsidR="00794BF1">
        <w:rPr>
          <w:b/>
          <w:sz w:val="22"/>
          <w:szCs w:val="22"/>
          <w:lang w:val="en-GB"/>
        </w:rPr>
        <w:t xml:space="preserve">not </w:t>
      </w:r>
      <w:r w:rsidRPr="00743351">
        <w:rPr>
          <w:b/>
          <w:sz w:val="22"/>
          <w:szCs w:val="22"/>
          <w:lang w:val="en-GB"/>
        </w:rPr>
        <w:t xml:space="preserve">be included </w:t>
      </w:r>
      <w:r w:rsidR="00794BF1">
        <w:rPr>
          <w:b/>
          <w:sz w:val="22"/>
          <w:szCs w:val="22"/>
          <w:lang w:val="en-GB"/>
        </w:rPr>
        <w:t xml:space="preserve">in the </w:t>
      </w:r>
      <w:r w:rsidR="00794BF1">
        <w:rPr>
          <w:b/>
          <w:sz w:val="22"/>
          <w:szCs w:val="22"/>
          <w:lang w:val="en-GB"/>
        </w:rPr>
        <w:lastRenderedPageBreak/>
        <w:t xml:space="preserve">request to participate form but </w:t>
      </w:r>
      <w:r w:rsidRPr="00743351">
        <w:rPr>
          <w:b/>
          <w:sz w:val="22"/>
          <w:szCs w:val="22"/>
          <w:lang w:val="en-GB"/>
        </w:rPr>
        <w:t>in a separate document</w:t>
      </w:r>
      <w:r w:rsidRPr="00AE0634">
        <w:rPr>
          <w:sz w:val="22"/>
          <w:szCs w:val="22"/>
          <w:lang w:val="en-GB"/>
        </w:rPr>
        <w:t>. Proof of the capacity will also have to be provided when requested by the contracting authority.</w:t>
      </w:r>
    </w:p>
    <w:p w14:paraId="425559B3" w14:textId="77777777" w:rsidR="00AE0634" w:rsidRPr="00AE0634" w:rsidRDefault="00AE0634" w:rsidP="00C3074F">
      <w:pPr>
        <w:widowControl/>
        <w:spacing w:before="0" w:after="160" w:line="240" w:lineRule="atLeast"/>
        <w:ind w:left="426"/>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0F7B68BC" w14:textId="0B0BE9A6" w:rsidR="00AE0634" w:rsidRDefault="00AE0634">
      <w:pPr>
        <w:widowControl/>
        <w:spacing w:before="0" w:after="160" w:line="240" w:lineRule="atLeast"/>
        <w:ind w:left="426"/>
        <w:jc w:val="both"/>
        <w:rPr>
          <w:sz w:val="22"/>
          <w:szCs w:val="22"/>
          <w:lang w:val="en-GB"/>
        </w:rPr>
      </w:pPr>
      <w:r w:rsidRPr="00AE0634">
        <w:rPr>
          <w:sz w:val="22"/>
          <w:szCs w:val="22"/>
          <w:lang w:val="en-GB"/>
        </w:rPr>
        <w:t>With regard to economic and financial criteria, the entities upon whose capacity the economic operator relies, become jointly and severally liable for t</w:t>
      </w:r>
      <w:r w:rsidR="000D53E3">
        <w:rPr>
          <w:sz w:val="22"/>
          <w:szCs w:val="22"/>
          <w:lang w:val="en-GB"/>
        </w:rPr>
        <w:t>he performance of the contract.</w:t>
      </w:r>
    </w:p>
    <w:p w14:paraId="077B9769" w14:textId="77777777" w:rsidR="0084580A" w:rsidRPr="0074547A" w:rsidRDefault="0084580A" w:rsidP="0084580A">
      <w:pPr>
        <w:spacing w:before="0" w:after="160" w:line="240" w:lineRule="atLeast"/>
        <w:ind w:left="426" w:right="-48"/>
        <w:jc w:val="both"/>
        <w:rPr>
          <w:sz w:val="22"/>
          <w:szCs w:val="22"/>
          <w:lang w:val="en-GB"/>
        </w:rPr>
      </w:pPr>
      <w:r w:rsidRPr="0074547A">
        <w:rPr>
          <w:sz w:val="22"/>
          <w:szCs w:val="22"/>
          <w:lang w:val="en-GB"/>
        </w:rPr>
        <w:t xml:space="preserve">The following selection criteria will be applied to candidates or tenderers. </w:t>
      </w:r>
      <w:r w:rsidRPr="0074547A">
        <w:rPr>
          <w:b/>
          <w:bCs/>
          <w:sz w:val="22"/>
          <w:szCs w:val="22"/>
          <w:lang w:val="en-GB"/>
        </w:rPr>
        <w:t>In the case of requests to participate or tender submission forms submitted by a consortium, these selection criteria will be applied to the consortium as a whole, unless specified otherwise.</w:t>
      </w:r>
      <w:r w:rsidRPr="0074547A">
        <w:rPr>
          <w:sz w:val="22"/>
          <w:szCs w:val="22"/>
          <w:lang w:val="en-GB"/>
        </w:rPr>
        <w:t xml:space="preserve"> The selection criteria will not be applied to natural persons and single-member companies when they are sub-contractors.</w:t>
      </w:r>
    </w:p>
    <w:p w14:paraId="630F3ED9" w14:textId="2B6C58A2" w:rsidR="00AD2A99" w:rsidRDefault="0084580A" w:rsidP="0084580A">
      <w:pPr>
        <w:widowControl/>
        <w:spacing w:before="0" w:after="160" w:line="240" w:lineRule="atLeast"/>
        <w:ind w:left="426"/>
        <w:jc w:val="both"/>
        <w:rPr>
          <w:sz w:val="22"/>
          <w:szCs w:val="22"/>
          <w:lang w:val="en-GB"/>
        </w:rPr>
      </w:pPr>
      <w:r w:rsidRPr="0074547A">
        <w:rPr>
          <w:sz w:val="22"/>
          <w:szCs w:val="22"/>
          <w:lang w:val="en-GB"/>
        </w:rPr>
        <w:t>The candidate or tenderer shall not use previous experience which caused breach of contract and termination by a contracting authority as a reference for selection criteria</w:t>
      </w:r>
    </w:p>
    <w:p w14:paraId="7FC26D02" w14:textId="1DFAC84F" w:rsidR="00740793" w:rsidRDefault="00740793" w:rsidP="00C3074F">
      <w:pPr>
        <w:widowControl/>
        <w:spacing w:before="0" w:after="160" w:line="240" w:lineRule="atLeast"/>
        <w:ind w:left="426"/>
        <w:jc w:val="center"/>
        <w:rPr>
          <w:sz w:val="22"/>
          <w:szCs w:val="22"/>
          <w:highlight w:val="yellow"/>
          <w:lang w:val="en-GB"/>
        </w:rPr>
      </w:pPr>
      <w:r>
        <w:rPr>
          <w:sz w:val="22"/>
          <w:szCs w:val="22"/>
          <w:lang w:val="en-GB"/>
        </w:rPr>
        <w:t>*****</w:t>
      </w:r>
    </w:p>
    <w:p w14:paraId="74CAEB71" w14:textId="262CEBBB" w:rsidR="00F33CD5" w:rsidRPr="00C3074F" w:rsidRDefault="00AA22A5" w:rsidP="00C3074F">
      <w:pPr>
        <w:pStyle w:val="Blockquote"/>
        <w:numPr>
          <w:ilvl w:val="0"/>
          <w:numId w:val="22"/>
        </w:numPr>
        <w:spacing w:before="0" w:after="120" w:line="240" w:lineRule="atLeast"/>
        <w:ind w:left="757" w:right="-48"/>
        <w:jc w:val="both"/>
        <w:rPr>
          <w:b/>
          <w:bCs/>
          <w:sz w:val="22"/>
          <w:szCs w:val="22"/>
          <w:lang w:val="en-GB"/>
        </w:rPr>
      </w:pPr>
      <w:r w:rsidRPr="00D275E6">
        <w:rPr>
          <w:b/>
          <w:sz w:val="22"/>
          <w:szCs w:val="22"/>
          <w:u w:val="single"/>
          <w:lang w:val="en-GB"/>
        </w:rPr>
        <w:t>Economic and financial capacity</w:t>
      </w:r>
      <w:r w:rsidR="00F33CD5" w:rsidRPr="00D275E6">
        <w:rPr>
          <w:sz w:val="22"/>
          <w:szCs w:val="22"/>
          <w:lang w:val="en-GB"/>
        </w:rPr>
        <w:t xml:space="preserve"> </w:t>
      </w:r>
      <w:r w:rsidR="00F33CD5" w:rsidRPr="00D275E6">
        <w:rPr>
          <w:b/>
          <w:sz w:val="22"/>
          <w:szCs w:val="22"/>
          <w:lang w:val="en-GB"/>
        </w:rPr>
        <w:t>(</w:t>
      </w:r>
      <w:r w:rsidR="00F33CD5" w:rsidRPr="00D275E6">
        <w:rPr>
          <w:sz w:val="22"/>
          <w:szCs w:val="22"/>
          <w:lang w:val="en-GB"/>
        </w:rPr>
        <w:t xml:space="preserve">based on item 3 of the </w:t>
      </w:r>
      <w:r w:rsidR="003F797F" w:rsidRPr="00D275E6">
        <w:rPr>
          <w:sz w:val="22"/>
          <w:szCs w:val="22"/>
          <w:lang w:val="en-GB"/>
        </w:rPr>
        <w:t xml:space="preserve">request to participate </w:t>
      </w:r>
      <w:r w:rsidR="00F33CD5" w:rsidRPr="00D275E6">
        <w:rPr>
          <w:sz w:val="22"/>
          <w:szCs w:val="22"/>
          <w:lang w:val="en-GB"/>
        </w:rPr>
        <w:t xml:space="preserve">form, </w:t>
      </w:r>
      <w:r w:rsidR="003F797F" w:rsidRPr="00D275E6">
        <w:rPr>
          <w:sz w:val="22"/>
          <w:szCs w:val="22"/>
          <w:lang w:val="en-GB"/>
        </w:rPr>
        <w:t xml:space="preserve">or </w:t>
      </w:r>
      <w:r w:rsidR="00F33CD5" w:rsidRPr="00D275E6">
        <w:rPr>
          <w:sz w:val="22"/>
          <w:szCs w:val="22"/>
          <w:lang w:val="en-GB"/>
        </w:rPr>
        <w:t>on item</w:t>
      </w:r>
      <w:r w:rsidR="00AA11FD" w:rsidRPr="00D275E6">
        <w:rPr>
          <w:sz w:val="22"/>
          <w:szCs w:val="22"/>
          <w:lang w:val="en-GB"/>
        </w:rPr>
        <w:t xml:space="preserve"> </w:t>
      </w:r>
      <w:r w:rsidR="00F33CD5" w:rsidRPr="00D275E6">
        <w:rPr>
          <w:sz w:val="22"/>
          <w:szCs w:val="22"/>
          <w:lang w:val="en-GB"/>
        </w:rPr>
        <w:t xml:space="preserve">3 of </w:t>
      </w:r>
      <w:r w:rsidR="007C0D3B">
        <w:rPr>
          <w:sz w:val="22"/>
          <w:szCs w:val="22"/>
          <w:lang w:val="en-GB"/>
        </w:rPr>
        <w:t xml:space="preserve">the </w:t>
      </w:r>
      <w:r w:rsidR="00F33CD5" w:rsidRPr="00D275E6">
        <w:rPr>
          <w:sz w:val="22"/>
          <w:szCs w:val="22"/>
          <w:lang w:val="en-GB"/>
        </w:rPr>
        <w:t xml:space="preserve">supply tender </w:t>
      </w:r>
      <w:r w:rsidR="00CC1552">
        <w:rPr>
          <w:sz w:val="22"/>
          <w:szCs w:val="22"/>
          <w:lang w:val="en-GB"/>
        </w:rPr>
        <w:t xml:space="preserve">submission </w:t>
      </w:r>
      <w:r w:rsidR="00F33CD5" w:rsidRPr="00D275E6">
        <w:rPr>
          <w:sz w:val="22"/>
          <w:szCs w:val="22"/>
          <w:lang w:val="en-GB"/>
        </w:rPr>
        <w:t xml:space="preserve">form). In case </w:t>
      </w:r>
      <w:r w:rsidR="00863A85">
        <w:rPr>
          <w:sz w:val="22"/>
          <w:szCs w:val="22"/>
          <w:lang w:val="en-GB"/>
        </w:rPr>
        <w:t>the</w:t>
      </w:r>
      <w:r w:rsidR="00F33CD5" w:rsidRPr="00D275E6">
        <w:rPr>
          <w:sz w:val="22"/>
          <w:szCs w:val="22"/>
          <w:lang w:val="en-GB"/>
        </w:rPr>
        <w:t xml:space="preserve"> candidate </w:t>
      </w:r>
      <w:r w:rsidR="00482742">
        <w:rPr>
          <w:sz w:val="22"/>
          <w:szCs w:val="22"/>
          <w:lang w:val="en-GB"/>
        </w:rPr>
        <w:t xml:space="preserve">or tenderer </w:t>
      </w:r>
      <w:r w:rsidR="00863A85">
        <w:rPr>
          <w:sz w:val="22"/>
          <w:szCs w:val="22"/>
          <w:lang w:val="en-GB"/>
        </w:rPr>
        <w:t>is</w:t>
      </w:r>
      <w:r w:rsidR="00F33CD5" w:rsidRPr="00D275E6">
        <w:rPr>
          <w:sz w:val="22"/>
          <w:szCs w:val="22"/>
          <w:lang w:val="en-GB"/>
        </w:rPr>
        <w:t xml:space="preserve"> a public body, equivalent information should be provided. The reference period which will be taken into account will </w:t>
      </w:r>
      <w:r w:rsidR="00F33CD5" w:rsidRPr="00C3074F">
        <w:rPr>
          <w:b/>
          <w:bCs/>
          <w:sz w:val="22"/>
          <w:szCs w:val="22"/>
          <w:lang w:val="en-GB"/>
        </w:rPr>
        <w:t>be the last three years for which accounts have been closed.</w:t>
      </w:r>
    </w:p>
    <w:p w14:paraId="27B75500" w14:textId="67B3AABA" w:rsidR="00AA22A5" w:rsidRPr="00D275E6" w:rsidRDefault="00AA22A5" w:rsidP="00C3074F">
      <w:pPr>
        <w:shd w:val="clear" w:color="auto" w:fill="FFFF00"/>
        <w:spacing w:before="0" w:after="120" w:line="240" w:lineRule="atLeast"/>
        <w:ind w:left="720" w:right="-48"/>
        <w:jc w:val="both"/>
        <w:rPr>
          <w:sz w:val="22"/>
          <w:szCs w:val="22"/>
          <w:lang w:val="en-GB"/>
        </w:rPr>
      </w:pPr>
      <w:r w:rsidRPr="00D275E6">
        <w:rPr>
          <w:sz w:val="22"/>
          <w:szCs w:val="22"/>
          <w:lang w:val="en-GB"/>
        </w:rPr>
        <w:t xml:space="preserve">The objective of this criterion is to examine </w:t>
      </w:r>
      <w:r w:rsidR="00A15A46" w:rsidRPr="00D275E6">
        <w:rPr>
          <w:sz w:val="22"/>
          <w:szCs w:val="22"/>
          <w:lang w:val="en-GB"/>
        </w:rPr>
        <w:t>whether</w:t>
      </w:r>
      <w:r w:rsidRPr="00D275E6">
        <w:rPr>
          <w:sz w:val="22"/>
          <w:szCs w:val="22"/>
          <w:lang w:val="en-GB"/>
        </w:rPr>
        <w:t xml:space="preserve"> the </w:t>
      </w:r>
      <w:r w:rsidR="00FF0AD1" w:rsidRPr="00D275E6">
        <w:rPr>
          <w:sz w:val="22"/>
          <w:szCs w:val="22"/>
          <w:lang w:val="en-GB"/>
        </w:rPr>
        <w:t>c</w:t>
      </w:r>
      <w:r w:rsidRPr="00D275E6">
        <w:rPr>
          <w:sz w:val="22"/>
          <w:szCs w:val="22"/>
          <w:lang w:val="en-GB"/>
        </w:rPr>
        <w:t>andidate</w:t>
      </w:r>
      <w:r w:rsidR="00482742">
        <w:rPr>
          <w:sz w:val="22"/>
          <w:szCs w:val="22"/>
          <w:lang w:val="en-GB"/>
        </w:rPr>
        <w:t xml:space="preserve"> or tenderer</w:t>
      </w:r>
      <w:r w:rsidRPr="00D275E6">
        <w:rPr>
          <w:sz w:val="22"/>
          <w:szCs w:val="22"/>
          <w:lang w:val="en-GB"/>
        </w:rPr>
        <w:t>:</w:t>
      </w:r>
    </w:p>
    <w:p w14:paraId="3F4499B9" w14:textId="77777777" w:rsidR="00AA22A5" w:rsidRPr="00D275E6" w:rsidRDefault="00AA22A5" w:rsidP="00C3074F">
      <w:pPr>
        <w:widowControl/>
        <w:numPr>
          <w:ilvl w:val="0"/>
          <w:numId w:val="3"/>
        </w:numPr>
        <w:shd w:val="clear" w:color="auto" w:fill="FFFF00"/>
        <w:tabs>
          <w:tab w:val="left" w:pos="9072"/>
        </w:tabs>
        <w:spacing w:before="0" w:after="120" w:line="240" w:lineRule="atLeast"/>
        <w:ind w:left="1134" w:right="-48" w:hanging="284"/>
        <w:jc w:val="both"/>
        <w:rPr>
          <w:sz w:val="22"/>
          <w:szCs w:val="22"/>
          <w:lang w:val="en-GB"/>
        </w:rPr>
      </w:pPr>
      <w:r w:rsidRPr="00D275E6">
        <w:rPr>
          <w:sz w:val="22"/>
          <w:szCs w:val="22"/>
          <w:lang w:val="en-GB"/>
        </w:rPr>
        <w:t xml:space="preserve">will not be economically dependent on the </w:t>
      </w:r>
      <w:r w:rsidR="00FF0AD1" w:rsidRPr="00D275E6">
        <w:rPr>
          <w:sz w:val="22"/>
          <w:szCs w:val="22"/>
          <w:lang w:val="en-GB"/>
        </w:rPr>
        <w:t>c</w:t>
      </w:r>
      <w:r w:rsidRPr="00D275E6">
        <w:rPr>
          <w:sz w:val="22"/>
          <w:szCs w:val="22"/>
          <w:lang w:val="en-GB"/>
        </w:rPr>
        <w:t xml:space="preserve">ontracting </w:t>
      </w:r>
      <w:r w:rsidR="00FF0AD1" w:rsidRPr="00D275E6">
        <w:rPr>
          <w:sz w:val="22"/>
          <w:szCs w:val="22"/>
          <w:lang w:val="en-GB"/>
        </w:rPr>
        <w:t>a</w:t>
      </w:r>
      <w:r w:rsidRPr="00D275E6">
        <w:rPr>
          <w:sz w:val="22"/>
          <w:szCs w:val="22"/>
          <w:lang w:val="en-GB"/>
        </w:rPr>
        <w:t>uthority in the event that the contract is awarded to it; and</w:t>
      </w:r>
    </w:p>
    <w:p w14:paraId="45CA14F0" w14:textId="77777777" w:rsidR="00AA22A5" w:rsidRPr="00D275E6" w:rsidRDefault="00AA22A5" w:rsidP="00C3074F">
      <w:pPr>
        <w:widowControl/>
        <w:numPr>
          <w:ilvl w:val="0"/>
          <w:numId w:val="3"/>
        </w:numPr>
        <w:shd w:val="clear" w:color="auto" w:fill="FFFF00"/>
        <w:spacing w:before="0" w:after="120" w:line="240" w:lineRule="atLeast"/>
        <w:ind w:left="1134" w:right="-48" w:hanging="284"/>
        <w:jc w:val="both"/>
        <w:rPr>
          <w:sz w:val="22"/>
          <w:szCs w:val="22"/>
          <w:lang w:val="en-GB"/>
        </w:rPr>
      </w:pPr>
      <w:r w:rsidRPr="00D275E6">
        <w:rPr>
          <w:sz w:val="22"/>
          <w:szCs w:val="22"/>
          <w:lang w:val="en-GB"/>
        </w:rPr>
        <w:t>has sufficient financial stability to handle the proposed contract.</w:t>
      </w:r>
    </w:p>
    <w:p w14:paraId="272B5DE3" w14:textId="7BF12A95" w:rsidR="00A35829" w:rsidRPr="00C3074F" w:rsidRDefault="00A35829" w:rsidP="00C3074F">
      <w:pPr>
        <w:spacing w:before="0" w:after="120" w:line="240" w:lineRule="atLeast"/>
        <w:ind w:firstLine="709"/>
        <w:rPr>
          <w:b/>
          <w:sz w:val="22"/>
          <w:szCs w:val="22"/>
          <w:lang w:val="en-GB"/>
        </w:rPr>
      </w:pPr>
      <w:r w:rsidRPr="00D275E6">
        <w:rPr>
          <w:b/>
          <w:sz w:val="22"/>
          <w:szCs w:val="22"/>
          <w:lang w:val="en-GB"/>
        </w:rPr>
        <w:t>Criterion 1: average annual turnover</w:t>
      </w:r>
    </w:p>
    <w:p w14:paraId="2809C80D" w14:textId="0E106AE6" w:rsidR="0084580A" w:rsidRPr="0074547A" w:rsidRDefault="0084580A" w:rsidP="0084580A">
      <w:pPr>
        <w:pStyle w:val="ListeParagraf"/>
        <w:numPr>
          <w:ilvl w:val="0"/>
          <w:numId w:val="33"/>
        </w:numPr>
        <w:spacing w:before="0" w:after="120" w:line="240" w:lineRule="atLeast"/>
        <w:jc w:val="both"/>
        <w:rPr>
          <w:sz w:val="22"/>
          <w:szCs w:val="22"/>
          <w:lang w:val="en-GB"/>
        </w:rPr>
      </w:pPr>
      <w:bookmarkStart w:id="4" w:name="_Hlk160467202"/>
      <w:r w:rsidRPr="0074547A">
        <w:rPr>
          <w:sz w:val="22"/>
          <w:szCs w:val="22"/>
          <w:lang w:val="en-GB"/>
        </w:rPr>
        <w:t>The tenderer's similar work experience on a sin</w:t>
      </w:r>
      <w:r w:rsidR="009E1762">
        <w:rPr>
          <w:sz w:val="22"/>
          <w:szCs w:val="22"/>
          <w:lang w:val="en-GB"/>
        </w:rPr>
        <w:t>gle contract must be at least 25</w:t>
      </w:r>
      <w:r w:rsidRPr="0074547A">
        <w:rPr>
          <w:sz w:val="22"/>
          <w:szCs w:val="22"/>
          <w:lang w:val="en-GB"/>
        </w:rPr>
        <w:t>% of the total amount to be offered.</w:t>
      </w:r>
    </w:p>
    <w:p w14:paraId="1A4C594A" w14:textId="77777777" w:rsidR="0084580A" w:rsidRDefault="0084580A" w:rsidP="0084580A">
      <w:pPr>
        <w:pStyle w:val="ListeParagraf"/>
        <w:numPr>
          <w:ilvl w:val="0"/>
          <w:numId w:val="33"/>
        </w:numPr>
        <w:spacing w:before="0" w:after="120" w:line="240" w:lineRule="atLeast"/>
        <w:contextualSpacing w:val="0"/>
        <w:jc w:val="both"/>
        <w:rPr>
          <w:sz w:val="22"/>
          <w:szCs w:val="22"/>
          <w:lang w:val="en-GB"/>
        </w:rPr>
      </w:pPr>
      <w:r w:rsidRPr="0074547A">
        <w:rPr>
          <w:sz w:val="22"/>
          <w:szCs w:val="22"/>
          <w:lang w:val="en-GB"/>
        </w:rPr>
        <w:t>The supporting documents (invoice, contract, stamp tax, etc.) of the tenderer's similar work experience shall be submitted in the technical proposal.</w:t>
      </w:r>
    </w:p>
    <w:p w14:paraId="7E0A390E" w14:textId="5FA6F998" w:rsidR="0084580A" w:rsidRPr="00577B77" w:rsidRDefault="0084580A" w:rsidP="00577B77">
      <w:pPr>
        <w:pStyle w:val="ListeParagraf"/>
        <w:numPr>
          <w:ilvl w:val="0"/>
          <w:numId w:val="33"/>
        </w:numPr>
        <w:spacing w:before="0" w:after="120" w:line="240" w:lineRule="atLeast"/>
        <w:jc w:val="both"/>
        <w:rPr>
          <w:sz w:val="22"/>
          <w:szCs w:val="22"/>
          <w:lang w:val="en-GB"/>
        </w:rPr>
      </w:pPr>
      <w:r w:rsidRPr="0074547A">
        <w:rPr>
          <w:sz w:val="22"/>
          <w:szCs w:val="22"/>
          <w:lang w:val="en-GB"/>
        </w:rPr>
        <w:t xml:space="preserve">The candidate’s or tenderer’s average annual turnover of the </w:t>
      </w:r>
      <w:r w:rsidRPr="00577B77">
        <w:rPr>
          <w:sz w:val="22"/>
          <w:szCs w:val="22"/>
          <w:lang w:val="en-GB"/>
        </w:rPr>
        <w:t>last 3 financial years</w:t>
      </w:r>
      <w:r w:rsidRPr="0074547A">
        <w:rPr>
          <w:sz w:val="22"/>
          <w:szCs w:val="22"/>
          <w:lang w:val="en-GB"/>
        </w:rPr>
        <w:t xml:space="preserve"> for which </w:t>
      </w:r>
      <w:r w:rsidRPr="00577B77">
        <w:rPr>
          <w:sz w:val="22"/>
          <w:szCs w:val="22"/>
          <w:lang w:val="en-GB"/>
        </w:rPr>
        <w:t xml:space="preserve">the accounts have been closed </w:t>
      </w:r>
      <w:r w:rsidRPr="0074547A">
        <w:rPr>
          <w:sz w:val="22"/>
          <w:szCs w:val="22"/>
          <w:lang w:val="en-GB"/>
        </w:rPr>
        <w:t xml:space="preserve">must be </w:t>
      </w:r>
      <w:r w:rsidRPr="00577B77">
        <w:rPr>
          <w:sz w:val="22"/>
          <w:szCs w:val="22"/>
          <w:lang w:val="en-GB"/>
        </w:rPr>
        <w:t xml:space="preserve">not less than </w:t>
      </w:r>
      <w:bookmarkStart w:id="5" w:name="_Hlk160460567"/>
      <w:r w:rsidR="00AE16C9">
        <w:rPr>
          <w:sz w:val="22"/>
          <w:szCs w:val="22"/>
          <w:lang w:val="en-GB"/>
        </w:rPr>
        <w:t>124.524.741,8</w:t>
      </w:r>
      <w:r w:rsidR="00577B77">
        <w:rPr>
          <w:sz w:val="22"/>
          <w:szCs w:val="22"/>
          <w:lang w:val="en-GB"/>
        </w:rPr>
        <w:t>0</w:t>
      </w:r>
      <w:r w:rsidR="008E0786" w:rsidRPr="00577B77">
        <w:rPr>
          <w:sz w:val="22"/>
          <w:szCs w:val="22"/>
          <w:lang w:val="en-GB"/>
        </w:rPr>
        <w:t xml:space="preserve"> TL </w:t>
      </w:r>
    </w:p>
    <w:p w14:paraId="7CDF6C7F" w14:textId="386AB626" w:rsidR="0084580A" w:rsidRDefault="0084580A" w:rsidP="0084580A">
      <w:pPr>
        <w:pStyle w:val="Blockquote"/>
        <w:spacing w:before="0" w:after="120" w:line="240" w:lineRule="atLeast"/>
        <w:ind w:left="1429" w:right="26"/>
        <w:jc w:val="both"/>
        <w:rPr>
          <w:sz w:val="22"/>
          <w:szCs w:val="22"/>
          <w:highlight w:val="red"/>
          <w:lang w:val="en-GB"/>
        </w:rPr>
      </w:pPr>
    </w:p>
    <w:p w14:paraId="0A7C3672" w14:textId="77777777" w:rsidR="0084580A" w:rsidRPr="0084580A" w:rsidRDefault="0084580A" w:rsidP="0084580A">
      <w:pPr>
        <w:pStyle w:val="Blockquote"/>
        <w:spacing w:before="0" w:after="120" w:line="240" w:lineRule="atLeast"/>
        <w:ind w:left="1429" w:right="26"/>
        <w:jc w:val="both"/>
        <w:rPr>
          <w:sz w:val="22"/>
          <w:szCs w:val="22"/>
          <w:lang w:val="en-GB"/>
        </w:rPr>
      </w:pPr>
      <w:r w:rsidRPr="0084580A">
        <w:rPr>
          <w:sz w:val="22"/>
          <w:szCs w:val="22"/>
          <w:lang w:val="en-GB"/>
        </w:rPr>
        <w:t>Criterion 2: assets/liabilities ratio</w:t>
      </w:r>
    </w:p>
    <w:p w14:paraId="70DAA080" w14:textId="5A41714E" w:rsidR="0084580A" w:rsidRPr="0084580A" w:rsidRDefault="0084580A" w:rsidP="0084580A">
      <w:pPr>
        <w:pStyle w:val="Blockquote"/>
        <w:spacing w:before="0" w:after="120" w:line="240" w:lineRule="atLeast"/>
        <w:ind w:left="1429" w:right="26"/>
        <w:jc w:val="both"/>
        <w:rPr>
          <w:sz w:val="22"/>
          <w:szCs w:val="22"/>
          <w:highlight w:val="red"/>
          <w:lang w:val="en-GB"/>
        </w:rPr>
      </w:pPr>
      <w:r w:rsidRPr="0084580A">
        <w:rPr>
          <w:sz w:val="22"/>
          <w:szCs w:val="22"/>
          <w:lang w:val="en-GB"/>
        </w:rPr>
        <w:t>Current ratio (current assets/current liabilities) in the last year for which accounts have been closed must be at least 1. Consortium will not be accepted.</w:t>
      </w:r>
    </w:p>
    <w:bookmarkEnd w:id="5"/>
    <w:p w14:paraId="6B498047" w14:textId="4C680186" w:rsidR="00A7354E" w:rsidRPr="00C3074F" w:rsidRDefault="00A7354E" w:rsidP="00C3074F">
      <w:pPr>
        <w:spacing w:before="0" w:after="120" w:line="240" w:lineRule="atLeast"/>
        <w:ind w:left="709"/>
        <w:jc w:val="both"/>
        <w:rPr>
          <w:sz w:val="22"/>
          <w:szCs w:val="22"/>
          <w:lang w:val="en-GB"/>
        </w:rPr>
      </w:pPr>
    </w:p>
    <w:bookmarkEnd w:id="4"/>
    <w:p w14:paraId="439D98ED" w14:textId="5B2EFC23" w:rsidR="009D15E6" w:rsidRDefault="009D15E6" w:rsidP="00C3074F">
      <w:pPr>
        <w:pStyle w:val="Blockquote"/>
        <w:numPr>
          <w:ilvl w:val="0"/>
          <w:numId w:val="22"/>
        </w:numPr>
        <w:spacing w:before="0" w:after="120" w:line="240" w:lineRule="atLeast"/>
        <w:ind w:left="709" w:right="-45" w:hanging="284"/>
        <w:jc w:val="both"/>
        <w:rPr>
          <w:sz w:val="22"/>
          <w:szCs w:val="22"/>
          <w:lang w:val="en-GB"/>
        </w:rPr>
      </w:pPr>
      <w:r w:rsidRPr="00D275E6">
        <w:rPr>
          <w:b/>
          <w:sz w:val="22"/>
          <w:szCs w:val="22"/>
          <w:u w:val="single"/>
          <w:lang w:val="en-GB"/>
        </w:rPr>
        <w:t>P</w:t>
      </w:r>
      <w:r w:rsidR="00AA22A5" w:rsidRPr="00D275E6">
        <w:rPr>
          <w:b/>
          <w:sz w:val="22"/>
          <w:szCs w:val="22"/>
          <w:u w:val="single"/>
          <w:lang w:val="en-GB"/>
        </w:rPr>
        <w:t>rofessional capacity</w:t>
      </w:r>
      <w:r w:rsidR="00AA22A5" w:rsidRPr="00D275E6">
        <w:rPr>
          <w:sz w:val="22"/>
          <w:szCs w:val="22"/>
          <w:lang w:val="en-GB"/>
        </w:rPr>
        <w:t xml:space="preserve"> </w:t>
      </w:r>
      <w:r w:rsidRPr="00D275E6">
        <w:rPr>
          <w:sz w:val="22"/>
          <w:szCs w:val="22"/>
          <w:lang w:val="en-GB"/>
        </w:rPr>
        <w:t xml:space="preserve">(based on items 4 and 5 of </w:t>
      </w:r>
      <w:r w:rsidR="002F1DF5" w:rsidRPr="00D275E6">
        <w:rPr>
          <w:sz w:val="22"/>
          <w:szCs w:val="22"/>
          <w:lang w:val="en-GB"/>
        </w:rPr>
        <w:t>the request to participate</w:t>
      </w:r>
      <w:r w:rsidRPr="00D275E6">
        <w:rPr>
          <w:sz w:val="22"/>
          <w:szCs w:val="22"/>
          <w:lang w:val="en-GB"/>
        </w:rPr>
        <w:t xml:space="preserve"> form</w:t>
      </w:r>
      <w:r w:rsidR="003907E7" w:rsidRPr="00D275E6">
        <w:rPr>
          <w:sz w:val="22"/>
          <w:szCs w:val="22"/>
          <w:lang w:val="en-GB"/>
        </w:rPr>
        <w:t xml:space="preserve"> for service contracts and</w:t>
      </w:r>
      <w:r w:rsidR="00F65592" w:rsidRPr="00D275E6">
        <w:rPr>
          <w:sz w:val="22"/>
          <w:szCs w:val="22"/>
          <w:lang w:val="en-GB"/>
        </w:rPr>
        <w:t xml:space="preserve"> on items 4 and 5 of the </w:t>
      </w:r>
      <w:r w:rsidR="00FF0AD1" w:rsidRPr="00D275E6">
        <w:rPr>
          <w:sz w:val="22"/>
          <w:szCs w:val="22"/>
          <w:lang w:val="en-GB"/>
        </w:rPr>
        <w:t>t</w:t>
      </w:r>
      <w:r w:rsidR="00F65592" w:rsidRPr="00D275E6">
        <w:rPr>
          <w:sz w:val="22"/>
          <w:szCs w:val="22"/>
          <w:lang w:val="en-GB"/>
        </w:rPr>
        <w:t xml:space="preserve">ender </w:t>
      </w:r>
      <w:r w:rsidR="00CC1552">
        <w:rPr>
          <w:sz w:val="22"/>
          <w:szCs w:val="22"/>
          <w:lang w:val="en-GB"/>
        </w:rPr>
        <w:t xml:space="preserve">submission </w:t>
      </w:r>
      <w:r w:rsidR="00FF0AD1" w:rsidRPr="00D275E6">
        <w:rPr>
          <w:sz w:val="22"/>
          <w:szCs w:val="22"/>
          <w:lang w:val="en-GB"/>
        </w:rPr>
        <w:t>f</w:t>
      </w:r>
      <w:r w:rsidR="00F65592" w:rsidRPr="00D275E6">
        <w:rPr>
          <w:sz w:val="22"/>
          <w:szCs w:val="22"/>
          <w:lang w:val="en-GB"/>
        </w:rPr>
        <w:t>orm for supply contracts</w:t>
      </w:r>
      <w:r w:rsidRPr="00D275E6">
        <w:rPr>
          <w:sz w:val="22"/>
          <w:szCs w:val="22"/>
          <w:lang w:val="en-GB"/>
        </w:rPr>
        <w:t>). The reference period which will be take</w:t>
      </w:r>
      <w:r w:rsidR="003907E7" w:rsidRPr="00D275E6">
        <w:rPr>
          <w:sz w:val="22"/>
          <w:szCs w:val="22"/>
          <w:lang w:val="en-GB"/>
        </w:rPr>
        <w:t xml:space="preserve">n into account will be </w:t>
      </w:r>
      <w:r w:rsidR="003907E7" w:rsidRPr="00C3074F">
        <w:rPr>
          <w:b/>
          <w:bCs/>
          <w:sz w:val="22"/>
          <w:szCs w:val="22"/>
          <w:lang w:val="en-GB"/>
        </w:rPr>
        <w:t xml:space="preserve">the last </w:t>
      </w:r>
      <w:r w:rsidR="00A35829" w:rsidRPr="00D275E6">
        <w:rPr>
          <w:b/>
          <w:bCs/>
          <w:sz w:val="22"/>
          <w:szCs w:val="22"/>
          <w:lang w:val="en-GB"/>
        </w:rPr>
        <w:t xml:space="preserve">3 </w:t>
      </w:r>
      <w:r w:rsidRPr="00C3074F">
        <w:rPr>
          <w:b/>
          <w:bCs/>
          <w:sz w:val="22"/>
          <w:szCs w:val="22"/>
          <w:lang w:val="en-GB"/>
        </w:rPr>
        <w:t xml:space="preserve">years </w:t>
      </w:r>
      <w:r w:rsidR="003907E7" w:rsidRPr="00C3074F">
        <w:rPr>
          <w:b/>
          <w:bCs/>
          <w:sz w:val="22"/>
          <w:szCs w:val="22"/>
          <w:lang w:val="en-GB"/>
        </w:rPr>
        <w:t>preceding the</w:t>
      </w:r>
      <w:r w:rsidRPr="00C3074F">
        <w:rPr>
          <w:b/>
          <w:bCs/>
          <w:sz w:val="22"/>
          <w:szCs w:val="22"/>
          <w:lang w:val="en-GB"/>
        </w:rPr>
        <w:t xml:space="preserve"> submission deadline</w:t>
      </w:r>
      <w:r w:rsidRPr="00D275E6">
        <w:rPr>
          <w:sz w:val="22"/>
          <w:szCs w:val="22"/>
          <w:lang w:val="en-GB"/>
        </w:rPr>
        <w:t>.</w:t>
      </w:r>
    </w:p>
    <w:p w14:paraId="348BA827" w14:textId="77777777" w:rsidR="0084580A" w:rsidRPr="00D275E6" w:rsidRDefault="0084580A" w:rsidP="0084580A">
      <w:pPr>
        <w:pStyle w:val="Blockquote"/>
        <w:spacing w:before="0" w:after="120" w:line="240" w:lineRule="atLeast"/>
        <w:ind w:left="709" w:right="-45"/>
        <w:jc w:val="both"/>
        <w:rPr>
          <w:sz w:val="22"/>
          <w:szCs w:val="22"/>
          <w:lang w:val="en-GB"/>
        </w:rPr>
      </w:pPr>
    </w:p>
    <w:p w14:paraId="20856C8C" w14:textId="45996062" w:rsidR="009E62EF" w:rsidRPr="00C3074F" w:rsidRDefault="00406E54" w:rsidP="00C3074F">
      <w:pPr>
        <w:pStyle w:val="Blockquote"/>
        <w:numPr>
          <w:ilvl w:val="0"/>
          <w:numId w:val="2"/>
        </w:numPr>
        <w:spacing w:before="0" w:after="120" w:line="240" w:lineRule="atLeast"/>
        <w:ind w:right="357"/>
        <w:jc w:val="both"/>
        <w:rPr>
          <w:sz w:val="22"/>
          <w:szCs w:val="22"/>
          <w:lang w:val="en-IE"/>
        </w:rPr>
      </w:pPr>
      <w:r w:rsidRPr="00C3074F">
        <w:rPr>
          <w:b/>
          <w:bCs/>
          <w:sz w:val="22"/>
          <w:szCs w:val="22"/>
          <w:lang w:val="en-IE"/>
        </w:rPr>
        <w:t xml:space="preserve">Criterion </w:t>
      </w:r>
      <w:r w:rsidR="00082D7C">
        <w:rPr>
          <w:b/>
          <w:bCs/>
          <w:sz w:val="22"/>
          <w:szCs w:val="22"/>
          <w:lang w:val="en-IE"/>
        </w:rPr>
        <w:t>1</w:t>
      </w:r>
      <w:r w:rsidRPr="00C3074F">
        <w:rPr>
          <w:b/>
          <w:bCs/>
          <w:sz w:val="22"/>
          <w:szCs w:val="22"/>
          <w:lang w:val="en-IE"/>
        </w:rPr>
        <w:t>:</w:t>
      </w:r>
      <w:r w:rsidR="00826A3C" w:rsidRPr="00C3074F">
        <w:rPr>
          <w:sz w:val="22"/>
          <w:szCs w:val="22"/>
          <w:lang w:val="en-IE"/>
        </w:rPr>
        <w:t xml:space="preserve"> </w:t>
      </w:r>
      <w:r w:rsidR="008E0786" w:rsidRPr="0074547A">
        <w:rPr>
          <w:sz w:val="22"/>
          <w:szCs w:val="22"/>
          <w:lang w:val="en-GB"/>
        </w:rPr>
        <w:t>the candidate or tenderer has, during the current year and the previous two years, on average, at least: 3 personnel directly employed or otherwise legally contracted on a permanent or non-permanent basis in</w:t>
      </w:r>
      <w:r w:rsidR="008E0786" w:rsidRPr="0074547A">
        <w:rPr>
          <w:sz w:val="22"/>
          <w:szCs w:val="22"/>
        </w:rPr>
        <w:t xml:space="preserve"> areas of specialist knowledge related to this contract.</w:t>
      </w:r>
    </w:p>
    <w:p w14:paraId="52053C1F" w14:textId="42B147CC" w:rsidR="006A0F0F" w:rsidRPr="006649F5" w:rsidRDefault="007A037D" w:rsidP="008E0786">
      <w:pPr>
        <w:pStyle w:val="Blockquote"/>
        <w:numPr>
          <w:ilvl w:val="0"/>
          <w:numId w:val="2"/>
        </w:numPr>
        <w:spacing w:before="0" w:after="120" w:line="240" w:lineRule="atLeast"/>
        <w:ind w:right="357"/>
        <w:jc w:val="both"/>
        <w:rPr>
          <w:color w:val="000000" w:themeColor="text1"/>
          <w:sz w:val="22"/>
          <w:szCs w:val="22"/>
          <w:lang w:val="en-GB"/>
        </w:rPr>
      </w:pPr>
      <w:r w:rsidRPr="00DC1FA3">
        <w:rPr>
          <w:b/>
          <w:bCs/>
          <w:sz w:val="22"/>
          <w:szCs w:val="22"/>
          <w:lang w:val="en-IE"/>
        </w:rPr>
        <w:t xml:space="preserve">Criterion </w:t>
      </w:r>
      <w:r w:rsidR="00082D7C">
        <w:rPr>
          <w:b/>
          <w:bCs/>
          <w:sz w:val="22"/>
          <w:szCs w:val="22"/>
          <w:lang w:val="en-IE"/>
        </w:rPr>
        <w:t>2</w:t>
      </w:r>
      <w:r>
        <w:rPr>
          <w:b/>
          <w:bCs/>
          <w:sz w:val="22"/>
          <w:szCs w:val="22"/>
          <w:lang w:val="en-IE"/>
        </w:rPr>
        <w:t xml:space="preserve">: </w:t>
      </w:r>
      <w:r w:rsidR="008E0786" w:rsidRPr="008E0786">
        <w:rPr>
          <w:sz w:val="22"/>
          <w:szCs w:val="22"/>
          <w:lang w:val="en-GB"/>
        </w:rPr>
        <w:t xml:space="preserve">the candidate or tenderer is not subject to professional conflicting interests which may negatively affect contract performance. The presence of professional conflicting </w:t>
      </w:r>
      <w:r w:rsidR="008E0786" w:rsidRPr="008E0786">
        <w:rPr>
          <w:sz w:val="22"/>
          <w:szCs w:val="22"/>
          <w:lang w:val="en-GB"/>
        </w:rPr>
        <w:lastRenderedPageBreak/>
        <w:t>interests shall be examined on the basis of the statements made through the Declarations on Honour and, where applicable, the statements and other documents submitted.</w:t>
      </w:r>
    </w:p>
    <w:p w14:paraId="24199B66" w14:textId="2AAAB2FE" w:rsidR="00E04B6B" w:rsidRPr="008C5B63" w:rsidRDefault="00E04B6B" w:rsidP="008E0786">
      <w:pPr>
        <w:pStyle w:val="Blockquote"/>
        <w:spacing w:before="0" w:after="120" w:line="240" w:lineRule="atLeast"/>
        <w:ind w:right="357"/>
        <w:jc w:val="both"/>
        <w:rPr>
          <w:sz w:val="22"/>
          <w:szCs w:val="22"/>
          <w:lang w:val="en-GB"/>
        </w:rPr>
      </w:pPr>
      <w:r w:rsidRPr="00FA24DB">
        <w:rPr>
          <w:b/>
          <w:sz w:val="22"/>
          <w:szCs w:val="22"/>
          <w:lang w:val="en-GB"/>
        </w:rPr>
        <w:t>3)</w:t>
      </w:r>
      <w:r w:rsidRPr="00FA24DB">
        <w:rPr>
          <w:b/>
          <w:sz w:val="22"/>
          <w:szCs w:val="22"/>
          <w:lang w:val="en-GB"/>
        </w:rPr>
        <w:tab/>
      </w:r>
      <w:r w:rsidRPr="00242F6D">
        <w:rPr>
          <w:b/>
          <w:sz w:val="22"/>
          <w:szCs w:val="22"/>
          <w:u w:val="single"/>
          <w:lang w:val="en-GB"/>
        </w:rPr>
        <w:t xml:space="preserve">Technical capacity </w:t>
      </w:r>
      <w:r w:rsidRPr="00242F6D">
        <w:rPr>
          <w:sz w:val="22"/>
          <w:szCs w:val="22"/>
          <w:lang w:val="en-GB"/>
        </w:rPr>
        <w:t>(based on item</w:t>
      </w:r>
      <w:r w:rsidR="00826A3C">
        <w:rPr>
          <w:sz w:val="22"/>
          <w:szCs w:val="22"/>
          <w:lang w:val="en-GB"/>
        </w:rPr>
        <w:t xml:space="preserve"> </w:t>
      </w:r>
      <w:r w:rsidRPr="00242F6D">
        <w:rPr>
          <w:sz w:val="22"/>
          <w:szCs w:val="22"/>
          <w:lang w:val="en-GB"/>
        </w:rPr>
        <w:t xml:space="preserve">6 of </w:t>
      </w:r>
      <w:r w:rsidR="002F1DF5" w:rsidRPr="00242F6D">
        <w:rPr>
          <w:sz w:val="22"/>
          <w:szCs w:val="22"/>
          <w:lang w:val="en-GB"/>
        </w:rPr>
        <w:t>the request to participate</w:t>
      </w:r>
      <w:r w:rsidRPr="00242F6D">
        <w:rPr>
          <w:sz w:val="22"/>
          <w:szCs w:val="22"/>
          <w:lang w:val="en-GB"/>
        </w:rPr>
        <w:t xml:space="preserve"> form</w:t>
      </w:r>
      <w:r w:rsidR="003907E7" w:rsidRPr="00242F6D">
        <w:rPr>
          <w:sz w:val="22"/>
          <w:szCs w:val="22"/>
          <w:lang w:val="en-GB"/>
        </w:rPr>
        <w:t xml:space="preserve"> for service contracts and</w:t>
      </w:r>
      <w:r w:rsidR="0048352B" w:rsidRPr="00242F6D">
        <w:rPr>
          <w:sz w:val="22"/>
          <w:szCs w:val="22"/>
          <w:lang w:val="en-GB"/>
        </w:rPr>
        <w:t xml:space="preserve"> on item</w:t>
      </w:r>
      <w:r w:rsidR="00826A3C">
        <w:rPr>
          <w:sz w:val="22"/>
          <w:szCs w:val="22"/>
          <w:lang w:val="en-GB"/>
        </w:rPr>
        <w:t xml:space="preserve"> </w:t>
      </w:r>
      <w:r w:rsidR="0048352B" w:rsidRPr="00242F6D">
        <w:rPr>
          <w:sz w:val="22"/>
          <w:szCs w:val="22"/>
          <w:lang w:val="en-GB"/>
        </w:rPr>
        <w:t xml:space="preserve">6 of the </w:t>
      </w:r>
      <w:r w:rsidR="00FF0AD1" w:rsidRPr="00242F6D">
        <w:rPr>
          <w:sz w:val="22"/>
          <w:szCs w:val="22"/>
          <w:lang w:val="en-GB"/>
        </w:rPr>
        <w:t>t</w:t>
      </w:r>
      <w:r w:rsidR="0048352B" w:rsidRPr="00242F6D">
        <w:rPr>
          <w:sz w:val="22"/>
          <w:szCs w:val="22"/>
          <w:lang w:val="en-GB"/>
        </w:rPr>
        <w:t xml:space="preserve">ender </w:t>
      </w:r>
      <w:r w:rsidR="00CC1552">
        <w:rPr>
          <w:sz w:val="22"/>
          <w:szCs w:val="22"/>
          <w:lang w:val="en-GB"/>
        </w:rPr>
        <w:t xml:space="preserve">submission </w:t>
      </w:r>
      <w:r w:rsidR="00FF0AD1" w:rsidRPr="00242F6D">
        <w:rPr>
          <w:sz w:val="22"/>
          <w:szCs w:val="22"/>
          <w:lang w:val="en-GB"/>
        </w:rPr>
        <w:t>f</w:t>
      </w:r>
      <w:r w:rsidR="0048352B" w:rsidRPr="00242F6D">
        <w:rPr>
          <w:sz w:val="22"/>
          <w:szCs w:val="22"/>
          <w:lang w:val="en-GB"/>
        </w:rPr>
        <w:t>orm for supply contracts</w:t>
      </w:r>
      <w:r w:rsidRPr="00242F6D">
        <w:rPr>
          <w:sz w:val="22"/>
          <w:szCs w:val="22"/>
          <w:lang w:val="en-GB"/>
        </w:rPr>
        <w:t xml:space="preserve">). </w:t>
      </w:r>
    </w:p>
    <w:p w14:paraId="022D22B8" w14:textId="77777777" w:rsidR="008E0786" w:rsidRPr="008E0786" w:rsidRDefault="008E0786" w:rsidP="008E0786">
      <w:pPr>
        <w:pStyle w:val="Blockquote"/>
        <w:tabs>
          <w:tab w:val="left" w:pos="709"/>
        </w:tabs>
        <w:spacing w:before="0" w:after="240" w:line="240" w:lineRule="atLeast"/>
        <w:ind w:left="709" w:right="28"/>
        <w:jc w:val="both"/>
        <w:rPr>
          <w:sz w:val="22"/>
          <w:szCs w:val="22"/>
          <w:lang w:val="en-GB"/>
        </w:rPr>
      </w:pPr>
      <w:bookmarkStart w:id="6" w:name="_Hlk160804456"/>
      <w:r w:rsidRPr="008E0786">
        <w:rPr>
          <w:sz w:val="22"/>
          <w:szCs w:val="22"/>
          <w:lang w:val="en-GB"/>
        </w:rPr>
        <w:t xml:space="preserve">Criterion: </w:t>
      </w:r>
    </w:p>
    <w:p w14:paraId="18999096" w14:textId="6A338A9F" w:rsidR="008E0786" w:rsidRPr="008E0786" w:rsidRDefault="008E0786" w:rsidP="008E0786">
      <w:pPr>
        <w:pStyle w:val="Blockquote"/>
        <w:tabs>
          <w:tab w:val="left" w:pos="709"/>
        </w:tabs>
        <w:spacing w:before="0" w:after="240" w:line="240" w:lineRule="atLeast"/>
        <w:ind w:left="709" w:right="28"/>
        <w:jc w:val="both"/>
        <w:rPr>
          <w:sz w:val="22"/>
          <w:szCs w:val="22"/>
          <w:lang w:val="en-GB"/>
        </w:rPr>
      </w:pPr>
      <w:r>
        <w:rPr>
          <w:sz w:val="22"/>
          <w:szCs w:val="22"/>
          <w:lang w:val="en-GB"/>
        </w:rPr>
        <w:t>•</w:t>
      </w:r>
      <w:r w:rsidRPr="008E0786">
        <w:rPr>
          <w:sz w:val="22"/>
          <w:szCs w:val="22"/>
          <w:lang w:val="en-GB"/>
        </w:rPr>
        <w:t>The candidate or tenderer has completed services under at least:  1 to 3 contracts implemented at any moment during the last four years before submission deadline.</w:t>
      </w:r>
    </w:p>
    <w:p w14:paraId="564C969F" w14:textId="2C64A842" w:rsidR="008E0786" w:rsidRPr="008E0786" w:rsidRDefault="008E0786" w:rsidP="008E0786">
      <w:pPr>
        <w:pStyle w:val="Blockquote"/>
        <w:tabs>
          <w:tab w:val="left" w:pos="709"/>
        </w:tabs>
        <w:spacing w:before="0" w:after="240" w:line="240" w:lineRule="atLeast"/>
        <w:ind w:left="709" w:right="28"/>
        <w:jc w:val="both"/>
        <w:rPr>
          <w:sz w:val="22"/>
          <w:szCs w:val="22"/>
          <w:lang w:val="en-GB"/>
        </w:rPr>
      </w:pPr>
      <w:r>
        <w:rPr>
          <w:sz w:val="22"/>
          <w:szCs w:val="22"/>
          <w:lang w:val="en-GB"/>
        </w:rPr>
        <w:t>•</w:t>
      </w:r>
      <w:r w:rsidRPr="008E0786">
        <w:rPr>
          <w:sz w:val="22"/>
          <w:szCs w:val="22"/>
          <w:lang w:val="en-GB"/>
        </w:rPr>
        <w:t xml:space="preserve">The cost of services completed for each contract cannot be less than </w:t>
      </w:r>
      <w:r w:rsidR="00AE16C9">
        <w:rPr>
          <w:sz w:val="22"/>
          <w:szCs w:val="22"/>
          <w:lang w:val="en-GB"/>
        </w:rPr>
        <w:t>124.524.741,80</w:t>
      </w:r>
      <w:r w:rsidR="00AE16C9" w:rsidRPr="00577B77">
        <w:rPr>
          <w:sz w:val="22"/>
          <w:szCs w:val="22"/>
          <w:lang w:val="en-GB"/>
        </w:rPr>
        <w:t xml:space="preserve"> TL</w:t>
      </w:r>
      <w:r w:rsidRPr="008E0786">
        <w:rPr>
          <w:sz w:val="22"/>
          <w:szCs w:val="22"/>
          <w:lang w:val="en-GB"/>
        </w:rPr>
        <w:t xml:space="preserve"> ().</w:t>
      </w:r>
    </w:p>
    <w:p w14:paraId="0B016B33" w14:textId="4D03C053" w:rsidR="008E0786" w:rsidRPr="008E0786" w:rsidRDefault="008E0786" w:rsidP="008E0786">
      <w:pPr>
        <w:pStyle w:val="Blockquote"/>
        <w:tabs>
          <w:tab w:val="left" w:pos="709"/>
        </w:tabs>
        <w:spacing w:before="0" w:after="240" w:line="240" w:lineRule="atLeast"/>
        <w:ind w:left="709" w:right="28"/>
        <w:jc w:val="both"/>
        <w:rPr>
          <w:sz w:val="22"/>
          <w:szCs w:val="22"/>
          <w:lang w:val="en-GB"/>
        </w:rPr>
      </w:pPr>
      <w:r>
        <w:rPr>
          <w:sz w:val="22"/>
          <w:szCs w:val="22"/>
          <w:lang w:val="en-GB"/>
        </w:rPr>
        <w:t>•</w:t>
      </w:r>
      <w:r w:rsidRPr="008E0786">
        <w:rPr>
          <w:sz w:val="22"/>
          <w:szCs w:val="22"/>
          <w:lang w:val="en-GB"/>
        </w:rPr>
        <w:t>The completed services are in the domain of service procurement business based on employment of personnel. This means that the contract the candidate or tenderer refers to could have been implemented at any time during the indicated period but it does not necessarily have to be completed during that period, nor implemented during the entire period. Candidates or tenderers are allowed to refer either to projects completed within the reference period (although started earlier) or to projects partially implemented during, but not yet completed within the reference period. Only the part completed during the reference period will be taken into consideration. This part will have to be supported by documentary evidence (approval of report or deliverable, proof of payment, statement or certificate from the entity which awarded the contract) also detailing its value. If a candidate or tenderer has implemented the project in a consortium, the part that the candidate or tenderer has successfully completed must be clear from the documentary evidence (such as consortium agreement and bank transfers between consortium members), together with a description of the nature of the services provided/supplies delivered.</w:t>
      </w:r>
    </w:p>
    <w:p w14:paraId="261F836D" w14:textId="77777777" w:rsidR="008E0786" w:rsidRPr="0074547A" w:rsidRDefault="008E0786" w:rsidP="008E0786">
      <w:pPr>
        <w:pStyle w:val="Blockquote"/>
        <w:spacing w:before="0" w:after="120" w:line="240" w:lineRule="atLeast"/>
        <w:ind w:left="426"/>
        <w:jc w:val="both"/>
        <w:rPr>
          <w:sz w:val="22"/>
          <w:szCs w:val="22"/>
          <w:lang w:val="en-GB"/>
        </w:rPr>
      </w:pPr>
      <w:r w:rsidRPr="0074547A">
        <w:rPr>
          <w:sz w:val="22"/>
          <w:szCs w:val="22"/>
          <w:lang w:val="en-GB"/>
        </w:rPr>
        <w:t>Additional comparative criteria</w:t>
      </w:r>
    </w:p>
    <w:p w14:paraId="2201B1C2" w14:textId="77777777" w:rsidR="008E0786" w:rsidRPr="0074547A" w:rsidRDefault="008E0786" w:rsidP="008E0786">
      <w:pPr>
        <w:pStyle w:val="Blockquote"/>
        <w:spacing w:before="0" w:after="120" w:line="240" w:lineRule="atLeast"/>
        <w:ind w:left="426"/>
        <w:jc w:val="both"/>
        <w:rPr>
          <w:sz w:val="22"/>
          <w:szCs w:val="22"/>
          <w:lang w:val="en-GB"/>
        </w:rPr>
      </w:pPr>
      <w:r w:rsidRPr="0074547A">
        <w:rPr>
          <w:sz w:val="22"/>
          <w:szCs w:val="22"/>
          <w:lang w:val="en-GB"/>
        </w:rPr>
        <w:t>If more than 8</w:t>
      </w:r>
      <w:r w:rsidRPr="0074547A" w:rsidDel="00BA29BB">
        <w:rPr>
          <w:sz w:val="22"/>
          <w:szCs w:val="22"/>
          <w:lang w:val="en-GB"/>
        </w:rPr>
        <w:t xml:space="preserve"> </w:t>
      </w:r>
      <w:r w:rsidRPr="0074547A">
        <w:rPr>
          <w:sz w:val="22"/>
          <w:szCs w:val="22"/>
          <w:lang w:val="en-GB"/>
        </w:rPr>
        <w:t>eligible candidates meet the above selection criteria, the relative strengths and weaknesses of the request to participate of these candidates will be re-examined in order to rank them and identify the 8 best requests to participate for the tender procedure. The only additional comparative criteria that will be taken into consideration during this re-examination, in the order in which they appear below, are:</w:t>
      </w:r>
    </w:p>
    <w:p w14:paraId="360D2C0E" w14:textId="77777777" w:rsidR="008E0786" w:rsidRPr="0074547A" w:rsidRDefault="008E0786" w:rsidP="008E0786">
      <w:pPr>
        <w:pStyle w:val="Blockquote"/>
        <w:spacing w:before="0" w:after="120" w:line="240" w:lineRule="atLeast"/>
        <w:ind w:left="709" w:hanging="283"/>
        <w:jc w:val="both"/>
        <w:rPr>
          <w:sz w:val="22"/>
          <w:szCs w:val="22"/>
          <w:lang w:val="en-GB"/>
        </w:rPr>
      </w:pPr>
      <w:r w:rsidRPr="0074547A">
        <w:rPr>
          <w:sz w:val="22"/>
          <w:szCs w:val="22"/>
          <w:lang w:val="en-GB"/>
        </w:rPr>
        <w:t>•</w:t>
      </w:r>
      <w:r w:rsidRPr="0074547A">
        <w:rPr>
          <w:sz w:val="22"/>
          <w:szCs w:val="22"/>
          <w:lang w:val="en-GB"/>
        </w:rPr>
        <w:tab/>
      </w:r>
      <w:r w:rsidRPr="0074547A">
        <w:rPr>
          <w:b/>
          <w:bCs/>
          <w:sz w:val="22"/>
          <w:szCs w:val="22"/>
          <w:lang w:val="en-GB"/>
        </w:rPr>
        <w:t>Criterion 1:</w:t>
      </w:r>
      <w:r w:rsidRPr="0074547A">
        <w:rPr>
          <w:sz w:val="22"/>
          <w:szCs w:val="22"/>
          <w:lang w:val="en-GB"/>
        </w:rPr>
        <w:t xml:space="preserve"> the highest number of contracts under which services have been completed that meet the technical capacity criterion;</w:t>
      </w:r>
    </w:p>
    <w:p w14:paraId="325FE0FD" w14:textId="77777777" w:rsidR="008E0786" w:rsidRPr="0074547A" w:rsidRDefault="008E0786" w:rsidP="008E0786">
      <w:pPr>
        <w:pStyle w:val="Blockquote"/>
        <w:spacing w:before="0" w:after="120" w:line="240" w:lineRule="atLeast"/>
        <w:ind w:left="709" w:hanging="283"/>
        <w:jc w:val="both"/>
        <w:rPr>
          <w:sz w:val="22"/>
          <w:szCs w:val="22"/>
          <w:lang w:val="en-GB"/>
        </w:rPr>
      </w:pPr>
      <w:r w:rsidRPr="0074547A">
        <w:rPr>
          <w:sz w:val="22"/>
          <w:szCs w:val="22"/>
          <w:lang w:val="en-GB"/>
        </w:rPr>
        <w:t>•</w:t>
      </w:r>
      <w:r w:rsidRPr="0074547A">
        <w:rPr>
          <w:sz w:val="22"/>
          <w:szCs w:val="22"/>
          <w:lang w:val="en-GB"/>
        </w:rPr>
        <w:tab/>
      </w:r>
      <w:r w:rsidRPr="0074547A">
        <w:rPr>
          <w:b/>
          <w:bCs/>
          <w:sz w:val="22"/>
          <w:szCs w:val="22"/>
          <w:lang w:val="en-GB"/>
        </w:rPr>
        <w:t>Criterion 2:</w:t>
      </w:r>
      <w:r w:rsidRPr="0074547A">
        <w:rPr>
          <w:sz w:val="22"/>
          <w:szCs w:val="22"/>
          <w:lang w:val="en-GB"/>
        </w:rPr>
        <w:t xml:space="preserve"> the highest cumulated value of completed services that meet the technical capacity criterion.</w:t>
      </w:r>
    </w:p>
    <w:p w14:paraId="234723D4" w14:textId="77777777" w:rsidR="008E0786" w:rsidRPr="0074547A" w:rsidRDefault="008E0786" w:rsidP="008E0786">
      <w:pPr>
        <w:spacing w:before="0" w:after="120" w:line="240" w:lineRule="atLeast"/>
        <w:ind w:left="426" w:right="26"/>
        <w:jc w:val="both"/>
        <w:outlineLvl w:val="0"/>
        <w:rPr>
          <w:sz w:val="22"/>
          <w:szCs w:val="22"/>
          <w:lang w:val="en-GB"/>
        </w:rPr>
      </w:pPr>
      <w:r w:rsidRPr="0074547A">
        <w:rPr>
          <w:sz w:val="22"/>
          <w:szCs w:val="22"/>
          <w:lang w:val="en-GB"/>
        </w:rPr>
        <w:t>Additional comparative criterion No 1 shall be applied to all the eligible candidates that meet the selection criteria. If, after applying additional comparative criterion No 1, it is not possible to identify the 8 best candidates because two or more candidates are tied for the 8th position, additional comparative criterion No 2 shall be applied only to these tied candidates.]</w:t>
      </w:r>
    </w:p>
    <w:p w14:paraId="0D96AC21" w14:textId="77777777" w:rsidR="008E0786" w:rsidRPr="008E0786" w:rsidRDefault="008E0786" w:rsidP="008E0786">
      <w:pPr>
        <w:pStyle w:val="Blockquote"/>
        <w:tabs>
          <w:tab w:val="left" w:pos="709"/>
        </w:tabs>
        <w:spacing w:before="0" w:after="240" w:line="240" w:lineRule="atLeast"/>
        <w:ind w:left="709" w:right="28"/>
        <w:jc w:val="both"/>
        <w:rPr>
          <w:bCs/>
          <w:sz w:val="22"/>
          <w:szCs w:val="22"/>
          <w:lang w:val="en-IE"/>
        </w:rPr>
      </w:pPr>
    </w:p>
    <w:bookmarkEnd w:id="6"/>
    <w:p w14:paraId="779189B0" w14:textId="77777777" w:rsidR="00AA22A5" w:rsidRPr="00CC4086" w:rsidRDefault="00AA22A5" w:rsidP="00C3074F">
      <w:pPr>
        <w:pStyle w:val="PRAGHeading2"/>
        <w:spacing w:before="240" w:after="120" w:line="240" w:lineRule="atLeast"/>
        <w:ind w:left="425" w:hanging="425"/>
        <w:rPr>
          <w:rStyle w:val="Gl"/>
          <w:sz w:val="22"/>
          <w:szCs w:val="22"/>
          <w:highlight w:val="lightGray"/>
          <w:lang w:val="en-GB"/>
        </w:rPr>
      </w:pPr>
      <w:r w:rsidRPr="00CC4086">
        <w:rPr>
          <w:rStyle w:val="Gl"/>
          <w:sz w:val="22"/>
          <w:szCs w:val="22"/>
          <w:highlight w:val="lightGray"/>
          <w:lang w:val="en-GB"/>
        </w:rPr>
        <w:t>Award criteria</w:t>
      </w:r>
    </w:p>
    <w:p w14:paraId="1E7BC5A0" w14:textId="48B67B20" w:rsidR="00706252" w:rsidRPr="00FE0190" w:rsidRDefault="008812B5" w:rsidP="008812B5">
      <w:pPr>
        <w:pStyle w:val="Blockquote"/>
        <w:spacing w:before="0" w:after="120" w:line="240" w:lineRule="atLeast"/>
        <w:ind w:left="0"/>
        <w:jc w:val="both"/>
        <w:rPr>
          <w:b/>
          <w:bCs/>
          <w:color w:val="000000"/>
          <w:sz w:val="22"/>
          <w:szCs w:val="22"/>
          <w:shd w:val="clear" w:color="auto" w:fill="FFFFFF"/>
        </w:rPr>
      </w:pPr>
      <w:r w:rsidRPr="0074547A">
        <w:rPr>
          <w:sz w:val="22"/>
          <w:szCs w:val="22"/>
          <w:lang w:val="en-GB"/>
        </w:rPr>
        <w:t>Best price-quality ratio</w:t>
      </w:r>
    </w:p>
    <w:p w14:paraId="6FEBA172" w14:textId="43CAFAF1" w:rsidR="009F4C6C" w:rsidRPr="00FA24DB" w:rsidRDefault="0080696C" w:rsidP="00C3074F">
      <w:pPr>
        <w:pStyle w:val="PRAGHeading2"/>
        <w:keepNext/>
        <w:widowControl/>
        <w:numPr>
          <w:ilvl w:val="0"/>
          <w:numId w:val="0"/>
        </w:numPr>
        <w:spacing w:before="0" w:after="240" w:line="240" w:lineRule="atLeast"/>
        <w:ind w:left="284"/>
        <w:jc w:val="center"/>
        <w:rPr>
          <w:rStyle w:val="Gl"/>
          <w:sz w:val="22"/>
          <w:szCs w:val="22"/>
          <w:lang w:val="en-IE"/>
        </w:rPr>
      </w:pPr>
      <w:r w:rsidRPr="00075D67">
        <w:rPr>
          <w:rStyle w:val="Gl"/>
          <w:sz w:val="22"/>
          <w:szCs w:val="22"/>
          <w:highlight w:val="lightGray"/>
          <w:lang w:val="en-GB"/>
        </w:rPr>
        <w:lastRenderedPageBreak/>
        <w:t>PARTICIPATION</w:t>
      </w:r>
    </w:p>
    <w:p w14:paraId="70E960E0" w14:textId="658F1352" w:rsidR="00AA22A5" w:rsidRPr="001B078F" w:rsidRDefault="002F1DF5" w:rsidP="00C3074F">
      <w:pPr>
        <w:pStyle w:val="PRAGHeading2"/>
        <w:keepNext/>
        <w:widowControl/>
        <w:tabs>
          <w:tab w:val="clear" w:pos="567"/>
          <w:tab w:val="num" w:pos="426"/>
        </w:tabs>
        <w:spacing w:before="0" w:after="120" w:line="240" w:lineRule="atLeast"/>
        <w:ind w:left="0"/>
        <w:rPr>
          <w:rStyle w:val="Gl"/>
          <w:b w:val="0"/>
          <w:sz w:val="22"/>
          <w:szCs w:val="22"/>
          <w:lang w:val="en-GB"/>
        </w:rPr>
      </w:pPr>
      <w:r>
        <w:rPr>
          <w:rStyle w:val="Gl"/>
          <w:sz w:val="22"/>
          <w:szCs w:val="22"/>
          <w:highlight w:val="lightGray"/>
          <w:lang w:val="en-GB"/>
        </w:rPr>
        <w:t>Requests to participate</w:t>
      </w:r>
      <w:r w:rsidR="00AA22A5" w:rsidRPr="0025703B">
        <w:rPr>
          <w:rStyle w:val="Gl"/>
          <w:sz w:val="22"/>
          <w:szCs w:val="22"/>
          <w:highlight w:val="lightGray"/>
          <w:lang w:val="en-GB"/>
        </w:rPr>
        <w:t xml:space="preserve"> format and details to be provided </w:t>
      </w:r>
    </w:p>
    <w:p w14:paraId="44365435" w14:textId="4EC1F55D" w:rsidR="003C15AF" w:rsidRDefault="002F1DF5" w:rsidP="00C3074F">
      <w:pPr>
        <w:pStyle w:val="PRAGHeading2"/>
        <w:keepNext/>
        <w:widowControl/>
        <w:numPr>
          <w:ilvl w:val="0"/>
          <w:numId w:val="0"/>
        </w:numPr>
        <w:tabs>
          <w:tab w:val="num" w:pos="426"/>
        </w:tabs>
        <w:spacing w:before="0" w:after="120" w:line="240" w:lineRule="atLeast"/>
        <w:ind w:left="426"/>
        <w:jc w:val="both"/>
        <w:rPr>
          <w:sz w:val="22"/>
          <w:szCs w:val="22"/>
          <w:lang w:val="en-GB"/>
        </w:rPr>
      </w:pPr>
      <w:r>
        <w:rPr>
          <w:sz w:val="22"/>
          <w:szCs w:val="22"/>
          <w:highlight w:val="lightGray"/>
          <w:lang w:val="en-GB"/>
        </w:rPr>
        <w:t>Requests to participate</w:t>
      </w:r>
      <w:r w:rsidR="00337E2A" w:rsidRPr="001B078F">
        <w:rPr>
          <w:sz w:val="22"/>
          <w:szCs w:val="22"/>
          <w:highlight w:val="lightGray"/>
          <w:lang w:val="en-GB"/>
        </w:rPr>
        <w:t xml:space="preserve"> must be submitted using the </w:t>
      </w:r>
      <w:r w:rsidR="007E559C">
        <w:rPr>
          <w:sz w:val="22"/>
          <w:szCs w:val="22"/>
          <w:highlight w:val="lightGray"/>
          <w:lang w:val="en-GB"/>
        </w:rPr>
        <w:t xml:space="preserve">request to participate </w:t>
      </w:r>
      <w:r w:rsidR="00337E2A" w:rsidRPr="001B078F">
        <w:rPr>
          <w:sz w:val="22"/>
          <w:szCs w:val="22"/>
          <w:highlight w:val="lightGray"/>
          <w:lang w:val="en-GB"/>
        </w:rPr>
        <w:t xml:space="preserve">form, the format and instructions of which must be strictly observed. </w:t>
      </w:r>
      <w:r>
        <w:rPr>
          <w:sz w:val="22"/>
          <w:szCs w:val="22"/>
          <w:highlight w:val="lightGray"/>
          <w:lang w:val="en-GB"/>
        </w:rPr>
        <w:t>The request to participate</w:t>
      </w:r>
      <w:r w:rsidR="00337E2A" w:rsidRPr="001B078F">
        <w:rPr>
          <w:sz w:val="22"/>
          <w:szCs w:val="22"/>
          <w:highlight w:val="lightGray"/>
          <w:lang w:val="en-GB"/>
        </w:rPr>
        <w:t xml:space="preserve"> form is available from the following Internet address: </w:t>
      </w:r>
    </w:p>
    <w:p w14:paraId="506FB41D" w14:textId="3706A2F9" w:rsidR="003662BE" w:rsidRPr="00D275E6" w:rsidRDefault="00843FD9" w:rsidP="00C3074F">
      <w:pPr>
        <w:pStyle w:val="PRAGHeading2"/>
        <w:keepNext/>
        <w:widowControl/>
        <w:numPr>
          <w:ilvl w:val="0"/>
          <w:numId w:val="0"/>
        </w:numPr>
        <w:tabs>
          <w:tab w:val="num" w:pos="426"/>
        </w:tabs>
        <w:spacing w:before="0" w:after="120" w:line="240" w:lineRule="atLeast"/>
        <w:ind w:left="426"/>
        <w:rPr>
          <w:sz w:val="22"/>
          <w:szCs w:val="22"/>
          <w:lang w:val="en-GB"/>
        </w:rPr>
      </w:pPr>
      <w:hyperlink r:id="rId8" w:history="1">
        <w:r w:rsidR="00F20D5B" w:rsidRPr="00D275E6">
          <w:rPr>
            <w:rStyle w:val="Kpr"/>
            <w:sz w:val="22"/>
            <w:szCs w:val="22"/>
            <w:lang w:val="en-GB"/>
          </w:rPr>
          <w:t>https://wikis.ec.europa.eu/display/ExactExternalWiki/Annexes</w:t>
        </w:r>
      </w:hyperlink>
    </w:p>
    <w:p w14:paraId="5C0AB8CE" w14:textId="01EEDAE3" w:rsidR="00001895" w:rsidRPr="00D275E6" w:rsidRDefault="002F1DF5" w:rsidP="00C3074F">
      <w:pPr>
        <w:pStyle w:val="Blockquote"/>
        <w:keepNext/>
        <w:widowControl/>
        <w:tabs>
          <w:tab w:val="num" w:pos="426"/>
        </w:tabs>
        <w:spacing w:before="0" w:after="120" w:line="240" w:lineRule="atLeast"/>
        <w:ind w:left="426" w:right="-48"/>
        <w:jc w:val="both"/>
        <w:rPr>
          <w:sz w:val="22"/>
          <w:szCs w:val="22"/>
          <w:highlight w:val="lightGray"/>
          <w:lang w:val="en-GB"/>
        </w:rPr>
      </w:pPr>
      <w:r w:rsidRPr="00D275E6">
        <w:rPr>
          <w:sz w:val="22"/>
          <w:szCs w:val="22"/>
          <w:highlight w:val="lightGray"/>
          <w:lang w:val="en-GB"/>
        </w:rPr>
        <w:t>The request to participate</w:t>
      </w:r>
      <w:r w:rsidR="00001895" w:rsidRPr="00D275E6">
        <w:rPr>
          <w:sz w:val="22"/>
          <w:szCs w:val="22"/>
          <w:highlight w:val="lightGray"/>
          <w:lang w:val="en-GB"/>
        </w:rPr>
        <w:t xml:space="preserve"> must be accompanied by a declaration o</w:t>
      </w:r>
      <w:r w:rsidR="00D56FD2" w:rsidRPr="00D275E6">
        <w:rPr>
          <w:sz w:val="22"/>
          <w:szCs w:val="22"/>
          <w:highlight w:val="lightGray"/>
          <w:lang w:val="en-GB"/>
        </w:rPr>
        <w:t>n</w:t>
      </w:r>
      <w:r w:rsidR="00001895" w:rsidRPr="00D275E6">
        <w:rPr>
          <w:sz w:val="22"/>
          <w:szCs w:val="22"/>
          <w:highlight w:val="lightGray"/>
          <w:lang w:val="en-GB"/>
        </w:rPr>
        <w:t xml:space="preserve"> honour on exclusion and selection criteria using the template available from the following Internet address:</w:t>
      </w:r>
    </w:p>
    <w:p w14:paraId="25513164" w14:textId="77777777" w:rsidR="00DE5C82" w:rsidRPr="00D275E6" w:rsidRDefault="00843FD9" w:rsidP="00DE5C82">
      <w:pPr>
        <w:pStyle w:val="PRAGHeading2"/>
        <w:keepNext/>
        <w:widowControl/>
        <w:numPr>
          <w:ilvl w:val="0"/>
          <w:numId w:val="0"/>
        </w:numPr>
        <w:tabs>
          <w:tab w:val="num" w:pos="426"/>
        </w:tabs>
        <w:spacing w:before="0" w:after="120" w:line="240" w:lineRule="atLeast"/>
        <w:ind w:left="426"/>
        <w:rPr>
          <w:sz w:val="22"/>
          <w:szCs w:val="22"/>
          <w:lang w:val="en-GB"/>
        </w:rPr>
      </w:pPr>
      <w:hyperlink r:id="rId9" w:history="1">
        <w:r w:rsidR="00DE5C82" w:rsidRPr="00D275E6">
          <w:rPr>
            <w:rStyle w:val="Kpr"/>
            <w:sz w:val="22"/>
            <w:szCs w:val="22"/>
            <w:lang w:val="en-GB"/>
          </w:rPr>
          <w:t>https://wikis.ec.europa.eu/display/ExactExternalWiki/Annexes</w:t>
        </w:r>
      </w:hyperlink>
    </w:p>
    <w:p w14:paraId="7201DBD2" w14:textId="434FF1BC" w:rsidR="00AA22A5" w:rsidRPr="00D275E6" w:rsidRDefault="00AA22A5" w:rsidP="00C3074F">
      <w:pPr>
        <w:pStyle w:val="PRAGHeading2"/>
        <w:numPr>
          <w:ilvl w:val="0"/>
          <w:numId w:val="0"/>
        </w:numPr>
        <w:tabs>
          <w:tab w:val="num" w:pos="426"/>
        </w:tabs>
        <w:spacing w:before="0" w:after="120" w:line="240" w:lineRule="atLeast"/>
        <w:ind w:left="426"/>
        <w:jc w:val="both"/>
        <w:rPr>
          <w:sz w:val="22"/>
          <w:szCs w:val="22"/>
          <w:highlight w:val="lightGray"/>
          <w:lang w:val="en-GB"/>
        </w:rPr>
      </w:pPr>
      <w:r w:rsidRPr="00D275E6">
        <w:rPr>
          <w:sz w:val="22"/>
          <w:szCs w:val="22"/>
          <w:highlight w:val="lightGray"/>
          <w:lang w:val="en-GB"/>
        </w:rPr>
        <w:t>Any documentation (brochure, letter, etc</w:t>
      </w:r>
      <w:r w:rsidR="00FF0AD1" w:rsidRPr="00D275E6">
        <w:rPr>
          <w:sz w:val="22"/>
          <w:szCs w:val="22"/>
          <w:highlight w:val="lightGray"/>
          <w:lang w:val="en-GB"/>
        </w:rPr>
        <w:t>.</w:t>
      </w:r>
      <w:r w:rsidRPr="00D275E6">
        <w:rPr>
          <w:sz w:val="22"/>
          <w:szCs w:val="22"/>
          <w:highlight w:val="lightGray"/>
          <w:lang w:val="en-GB"/>
        </w:rPr>
        <w:t xml:space="preserve">) sent with </w:t>
      </w:r>
      <w:r w:rsidR="002F1DF5" w:rsidRPr="00D275E6">
        <w:rPr>
          <w:sz w:val="22"/>
          <w:szCs w:val="22"/>
          <w:highlight w:val="lightGray"/>
          <w:lang w:val="en-GB"/>
        </w:rPr>
        <w:t>a request to participate</w:t>
      </w:r>
      <w:r w:rsidRPr="00D275E6">
        <w:rPr>
          <w:sz w:val="22"/>
          <w:szCs w:val="22"/>
          <w:highlight w:val="lightGray"/>
          <w:lang w:val="en-GB"/>
        </w:rPr>
        <w:t xml:space="preserve"> in addition to what has been requested will not be taken into consideration. </w:t>
      </w:r>
    </w:p>
    <w:p w14:paraId="4C5B02D8" w14:textId="78840E57" w:rsidR="00AA22A5" w:rsidRDefault="00AA22A5" w:rsidP="00C3074F">
      <w:pPr>
        <w:pStyle w:val="PRAGHeading2"/>
        <w:spacing w:before="0" w:after="120" w:line="240" w:lineRule="atLeast"/>
        <w:ind w:left="426" w:hanging="426"/>
        <w:jc w:val="both"/>
        <w:rPr>
          <w:rStyle w:val="Gl"/>
          <w:sz w:val="22"/>
          <w:szCs w:val="22"/>
          <w:highlight w:val="lightGray"/>
          <w:lang w:val="en-GB"/>
        </w:rPr>
      </w:pPr>
      <w:r w:rsidRPr="0025703B">
        <w:rPr>
          <w:rStyle w:val="Gl"/>
          <w:sz w:val="22"/>
          <w:szCs w:val="22"/>
          <w:highlight w:val="lightGray"/>
          <w:lang w:val="en-GB"/>
        </w:rPr>
        <w:t xml:space="preserve">How </w:t>
      </w:r>
      <w:r w:rsidR="00000631" w:rsidRPr="00075D67">
        <w:rPr>
          <w:rStyle w:val="Gl"/>
          <w:sz w:val="22"/>
          <w:szCs w:val="22"/>
          <w:highlight w:val="lightGray"/>
          <w:lang w:val="en-GB"/>
        </w:rPr>
        <w:t>requests to participat</w:t>
      </w:r>
      <w:r w:rsidR="00000631" w:rsidRPr="00000631">
        <w:rPr>
          <w:rStyle w:val="Gl"/>
          <w:sz w:val="22"/>
          <w:szCs w:val="22"/>
          <w:highlight w:val="lightGray"/>
          <w:lang w:val="en-GB"/>
        </w:rPr>
        <w:t xml:space="preserve">e </w:t>
      </w:r>
      <w:r w:rsidRPr="0025703B">
        <w:rPr>
          <w:rStyle w:val="Gl"/>
          <w:sz w:val="22"/>
          <w:szCs w:val="22"/>
          <w:highlight w:val="lightGray"/>
          <w:lang w:val="en-GB"/>
        </w:rPr>
        <w:t xml:space="preserve">may be submitted </w:t>
      </w:r>
    </w:p>
    <w:p w14:paraId="62E11469" w14:textId="77777777" w:rsidR="008812B5" w:rsidRPr="0074547A" w:rsidRDefault="008812B5" w:rsidP="008812B5">
      <w:pPr>
        <w:spacing w:before="0" w:after="120" w:line="240" w:lineRule="atLeast"/>
        <w:ind w:left="426"/>
        <w:jc w:val="center"/>
        <w:rPr>
          <w:sz w:val="22"/>
          <w:szCs w:val="22"/>
          <w:lang w:val="en-GB"/>
        </w:rPr>
      </w:pPr>
      <w:r w:rsidRPr="0074547A">
        <w:rPr>
          <w:sz w:val="22"/>
          <w:szCs w:val="22"/>
          <w:lang w:val="en-GB"/>
        </w:rPr>
        <w:t>Requests to participate must be submitted in English exclusively to the contracting authority in a sealed envelope.</w:t>
      </w:r>
    </w:p>
    <w:p w14:paraId="6FD8ECCA" w14:textId="77777777" w:rsidR="008812B5" w:rsidRPr="0074547A" w:rsidRDefault="008812B5" w:rsidP="008812B5">
      <w:pPr>
        <w:numPr>
          <w:ilvl w:val="0"/>
          <w:numId w:val="11"/>
        </w:numPr>
        <w:spacing w:before="0" w:after="120" w:line="240" w:lineRule="atLeast"/>
        <w:jc w:val="center"/>
        <w:rPr>
          <w:sz w:val="22"/>
          <w:szCs w:val="22"/>
          <w:lang w:val="en-GB"/>
        </w:rPr>
      </w:pPr>
      <w:r w:rsidRPr="0074547A">
        <w:rPr>
          <w:sz w:val="22"/>
          <w:szCs w:val="22"/>
          <w:lang w:val="en-GB"/>
        </w:rPr>
        <w:t>Either by post or by courier service, in which case the evidence shall be constituted by the postmark or the date of the deposit slip, to:</w:t>
      </w:r>
    </w:p>
    <w:p w14:paraId="3A081EFD" w14:textId="6F917158" w:rsidR="008812B5" w:rsidRPr="008812B5" w:rsidRDefault="006503AF" w:rsidP="008812B5">
      <w:pPr>
        <w:pStyle w:val="Blockquote"/>
        <w:spacing w:before="0" w:after="240"/>
        <w:ind w:left="1069" w:right="357"/>
        <w:jc w:val="center"/>
        <w:rPr>
          <w:rStyle w:val="Vurgu"/>
          <w:i w:val="0"/>
          <w:sz w:val="22"/>
          <w:szCs w:val="22"/>
          <w:highlight w:val="green"/>
          <w:lang w:val="en-GB"/>
        </w:rPr>
      </w:pPr>
      <w:r>
        <w:rPr>
          <w:rStyle w:val="Vurgu"/>
          <w:i w:val="0"/>
          <w:sz w:val="22"/>
          <w:szCs w:val="22"/>
          <w:highlight w:val="green"/>
          <w:lang w:val="en-GB"/>
        </w:rPr>
        <w:t>Mr.Kürşad Atilla ÖZDEMİR</w:t>
      </w:r>
    </w:p>
    <w:p w14:paraId="7000E9C1" w14:textId="0382551E" w:rsidR="008812B5" w:rsidRPr="008812B5" w:rsidRDefault="008812B5" w:rsidP="008812B5">
      <w:pPr>
        <w:pStyle w:val="Blockquote"/>
        <w:spacing w:before="0" w:after="240"/>
        <w:ind w:left="1069" w:right="357"/>
        <w:jc w:val="center"/>
        <w:rPr>
          <w:rStyle w:val="Vurgu"/>
          <w:i w:val="0"/>
          <w:sz w:val="22"/>
          <w:szCs w:val="22"/>
          <w:highlight w:val="green"/>
          <w:lang w:val="en-GB"/>
        </w:rPr>
      </w:pPr>
      <w:r w:rsidRPr="008812B5">
        <w:rPr>
          <w:rStyle w:val="Vurgu"/>
          <w:i w:val="0"/>
          <w:sz w:val="22"/>
          <w:szCs w:val="22"/>
          <w:highlight w:val="green"/>
          <w:lang w:val="en-GB"/>
        </w:rPr>
        <w:t>(For the attention of Procurement Unit)</w:t>
      </w:r>
    </w:p>
    <w:p w14:paraId="167D89DF" w14:textId="77777777" w:rsidR="008812B5" w:rsidRPr="00881017" w:rsidRDefault="008812B5" w:rsidP="008812B5">
      <w:pPr>
        <w:spacing w:after="240"/>
        <w:jc w:val="center"/>
        <w:rPr>
          <w:snapToGrid/>
          <w:sz w:val="22"/>
          <w:szCs w:val="22"/>
          <w:highlight w:val="green"/>
          <w:lang w:val="tr-TR" w:eastAsia="tr-TR"/>
        </w:rPr>
      </w:pPr>
      <w:r w:rsidRPr="008812B5">
        <w:rPr>
          <w:snapToGrid/>
          <w:sz w:val="22"/>
          <w:szCs w:val="22"/>
          <w:highlight w:val="green"/>
          <w:lang w:val="tr-TR" w:eastAsia="tr-TR"/>
        </w:rPr>
        <w:t xml:space="preserve">Ministry of </w:t>
      </w:r>
      <w:r w:rsidRPr="00881017">
        <w:rPr>
          <w:snapToGrid/>
          <w:sz w:val="22"/>
          <w:szCs w:val="22"/>
          <w:highlight w:val="green"/>
          <w:lang w:val="tr-TR" w:eastAsia="tr-TR"/>
        </w:rPr>
        <w:t>Family and Social Services</w:t>
      </w:r>
    </w:p>
    <w:p w14:paraId="7924F6FE" w14:textId="77777777" w:rsidR="00881017" w:rsidRPr="00881017" w:rsidRDefault="00881017" w:rsidP="008812B5">
      <w:pPr>
        <w:pStyle w:val="ListeParagraf"/>
        <w:spacing w:before="0" w:after="120" w:line="240" w:lineRule="atLeast"/>
        <w:ind w:left="1069"/>
        <w:jc w:val="center"/>
        <w:rPr>
          <w:snapToGrid/>
          <w:sz w:val="22"/>
          <w:szCs w:val="22"/>
          <w:highlight w:val="green"/>
          <w:lang w:val="tr-TR" w:eastAsia="tr-TR"/>
        </w:rPr>
      </w:pPr>
      <w:r w:rsidRPr="00881017">
        <w:rPr>
          <w:snapToGrid/>
          <w:sz w:val="22"/>
          <w:szCs w:val="22"/>
          <w:highlight w:val="green"/>
          <w:lang w:val="tr-TR" w:eastAsia="tr-TR"/>
        </w:rPr>
        <w:t>Social Safety Net Programme</w:t>
      </w:r>
    </w:p>
    <w:p w14:paraId="1A64A7A0" w14:textId="73DDB40E" w:rsidR="00881017" w:rsidRDefault="00881017" w:rsidP="008812B5">
      <w:pPr>
        <w:pStyle w:val="ListeParagraf"/>
        <w:spacing w:before="0" w:after="120" w:line="240" w:lineRule="atLeast"/>
        <w:ind w:left="1069"/>
        <w:jc w:val="center"/>
        <w:rPr>
          <w:snapToGrid/>
          <w:sz w:val="22"/>
          <w:szCs w:val="22"/>
          <w:lang w:val="tr-TR" w:eastAsia="tr-TR"/>
        </w:rPr>
      </w:pPr>
      <w:r w:rsidRPr="00881017">
        <w:rPr>
          <w:snapToGrid/>
          <w:sz w:val="22"/>
          <w:szCs w:val="22"/>
          <w:highlight w:val="green"/>
          <w:lang w:val="tr-TR" w:eastAsia="tr-TR"/>
        </w:rPr>
        <w:t>(SSN</w:t>
      </w:r>
      <w:r>
        <w:rPr>
          <w:snapToGrid/>
          <w:sz w:val="22"/>
          <w:szCs w:val="22"/>
          <w:highlight w:val="green"/>
          <w:lang w:val="tr-TR" w:eastAsia="tr-TR"/>
        </w:rPr>
        <w:t xml:space="preserve"> </w:t>
      </w:r>
      <w:r w:rsidRPr="00881017">
        <w:rPr>
          <w:snapToGrid/>
          <w:sz w:val="22"/>
          <w:szCs w:val="22"/>
          <w:highlight w:val="green"/>
          <w:lang w:val="tr-TR" w:eastAsia="tr-TR"/>
        </w:rPr>
        <w:t>Programme)</w:t>
      </w:r>
    </w:p>
    <w:p w14:paraId="1B5183A9" w14:textId="77777777" w:rsidR="00881017" w:rsidRDefault="00881017" w:rsidP="008812B5">
      <w:pPr>
        <w:pStyle w:val="ListeParagraf"/>
        <w:spacing w:before="0" w:after="120" w:line="240" w:lineRule="atLeast"/>
        <w:ind w:left="1069"/>
        <w:jc w:val="center"/>
        <w:rPr>
          <w:snapToGrid/>
          <w:sz w:val="22"/>
          <w:szCs w:val="22"/>
          <w:lang w:val="tr-TR" w:eastAsia="tr-TR"/>
        </w:rPr>
      </w:pPr>
    </w:p>
    <w:p w14:paraId="3C5406C8" w14:textId="07992D1F" w:rsidR="008812B5" w:rsidRPr="006D78C9" w:rsidRDefault="008812B5" w:rsidP="008812B5">
      <w:pPr>
        <w:pStyle w:val="ListeParagraf"/>
        <w:spacing w:before="0" w:after="120" w:line="240" w:lineRule="atLeast"/>
        <w:ind w:left="1069"/>
        <w:jc w:val="center"/>
        <w:rPr>
          <w:sz w:val="22"/>
          <w:szCs w:val="22"/>
          <w:highlight w:val="green"/>
          <w:lang w:val="tr-TR"/>
        </w:rPr>
      </w:pPr>
      <w:r w:rsidRPr="006D78C9">
        <w:rPr>
          <w:snapToGrid/>
          <w:sz w:val="22"/>
          <w:szCs w:val="22"/>
          <w:highlight w:val="green"/>
          <w:lang w:val="tr-TR" w:eastAsia="fr-BE"/>
        </w:rPr>
        <w:t>Çukurambar Mahallesi Malcolm X Caddesi No:22 Çankaya/Ankara/TÜRKİYE</w:t>
      </w:r>
    </w:p>
    <w:p w14:paraId="7E950A15" w14:textId="77777777" w:rsidR="008812B5" w:rsidRPr="006D78C9" w:rsidRDefault="008812B5" w:rsidP="008812B5">
      <w:pPr>
        <w:pStyle w:val="ListeParagraf"/>
        <w:spacing w:before="0" w:after="120" w:line="240" w:lineRule="atLeast"/>
        <w:ind w:left="1069"/>
        <w:jc w:val="center"/>
        <w:rPr>
          <w:sz w:val="22"/>
          <w:szCs w:val="22"/>
          <w:highlight w:val="green"/>
          <w:lang w:val="tr-TR"/>
        </w:rPr>
      </w:pPr>
    </w:p>
    <w:p w14:paraId="36B0C941" w14:textId="77777777" w:rsidR="008812B5" w:rsidRPr="008812B5" w:rsidRDefault="008812B5" w:rsidP="008812B5">
      <w:pPr>
        <w:pStyle w:val="ListeParagraf"/>
        <w:spacing w:before="0" w:after="120" w:line="240" w:lineRule="atLeast"/>
        <w:ind w:left="1069"/>
        <w:jc w:val="center"/>
        <w:rPr>
          <w:sz w:val="22"/>
          <w:szCs w:val="22"/>
          <w:highlight w:val="green"/>
          <w:lang w:val="en-GB"/>
        </w:rPr>
      </w:pPr>
      <w:r w:rsidRPr="008812B5">
        <w:rPr>
          <w:sz w:val="22"/>
          <w:szCs w:val="22"/>
          <w:highlight w:val="green"/>
          <w:lang w:val="en-GB"/>
        </w:rPr>
        <w:t>OR hand delivered by the participant in person or by an agent directly to the premises of the contracting authority in return for a signed and dated receipt, in which case the evidence shall be constituted by this acknowledgement of receipt, to:</w:t>
      </w:r>
    </w:p>
    <w:p w14:paraId="645B04D0" w14:textId="502E35EC" w:rsidR="008812B5" w:rsidRPr="008812B5" w:rsidRDefault="008812B5" w:rsidP="008812B5">
      <w:pPr>
        <w:pStyle w:val="Blockquote"/>
        <w:spacing w:before="0" w:after="240"/>
        <w:ind w:left="1069" w:right="357"/>
        <w:jc w:val="center"/>
        <w:rPr>
          <w:rStyle w:val="Vurgu"/>
          <w:i w:val="0"/>
          <w:sz w:val="22"/>
          <w:szCs w:val="22"/>
          <w:highlight w:val="green"/>
          <w:lang w:val="en-GB"/>
        </w:rPr>
      </w:pPr>
      <w:r w:rsidRPr="008812B5">
        <w:rPr>
          <w:rStyle w:val="Vurgu"/>
          <w:i w:val="0"/>
          <w:sz w:val="22"/>
          <w:szCs w:val="22"/>
          <w:highlight w:val="green"/>
          <w:lang w:val="en-GB"/>
        </w:rPr>
        <w:t>Mr.</w:t>
      </w:r>
      <w:r w:rsidR="006503AF">
        <w:rPr>
          <w:rStyle w:val="Vurgu"/>
          <w:i w:val="0"/>
          <w:sz w:val="22"/>
          <w:szCs w:val="22"/>
          <w:highlight w:val="green"/>
          <w:lang w:val="en-GB"/>
        </w:rPr>
        <w:t>Kürşad Atilla ÖZDEMİR</w:t>
      </w:r>
    </w:p>
    <w:p w14:paraId="12D4985A" w14:textId="77777777" w:rsidR="008812B5" w:rsidRPr="008812B5" w:rsidRDefault="008812B5" w:rsidP="008812B5">
      <w:pPr>
        <w:pStyle w:val="Blockquote"/>
        <w:spacing w:before="0" w:after="240"/>
        <w:ind w:left="1069" w:right="357"/>
        <w:jc w:val="center"/>
        <w:rPr>
          <w:rStyle w:val="Vurgu"/>
          <w:i w:val="0"/>
          <w:sz w:val="22"/>
          <w:szCs w:val="22"/>
          <w:highlight w:val="green"/>
          <w:lang w:val="en-GB"/>
        </w:rPr>
      </w:pPr>
      <w:r w:rsidRPr="008812B5">
        <w:rPr>
          <w:rStyle w:val="Vurgu"/>
          <w:i w:val="0"/>
          <w:sz w:val="22"/>
          <w:szCs w:val="22"/>
          <w:highlight w:val="green"/>
          <w:lang w:val="en-GB"/>
        </w:rPr>
        <w:t>(For the attention of Procurement Unit)</w:t>
      </w:r>
    </w:p>
    <w:p w14:paraId="00E560AF" w14:textId="77777777" w:rsidR="008812B5" w:rsidRPr="008812B5" w:rsidRDefault="008812B5" w:rsidP="008812B5">
      <w:pPr>
        <w:spacing w:after="240"/>
        <w:jc w:val="center"/>
        <w:rPr>
          <w:snapToGrid/>
          <w:sz w:val="22"/>
          <w:szCs w:val="22"/>
          <w:highlight w:val="green"/>
          <w:lang w:val="tr-TR" w:eastAsia="tr-TR"/>
        </w:rPr>
      </w:pPr>
      <w:r w:rsidRPr="008812B5">
        <w:rPr>
          <w:snapToGrid/>
          <w:sz w:val="22"/>
          <w:szCs w:val="22"/>
          <w:highlight w:val="green"/>
          <w:lang w:val="tr-TR" w:eastAsia="tr-TR"/>
        </w:rPr>
        <w:t>Ministry of Family and Social Services</w:t>
      </w:r>
    </w:p>
    <w:p w14:paraId="6E4C9879" w14:textId="77777777" w:rsidR="00881017" w:rsidRPr="00881017" w:rsidRDefault="00881017" w:rsidP="00881017">
      <w:pPr>
        <w:pStyle w:val="ListeParagraf"/>
        <w:spacing w:before="0" w:after="120" w:line="240" w:lineRule="atLeast"/>
        <w:ind w:left="1069"/>
        <w:jc w:val="center"/>
        <w:rPr>
          <w:snapToGrid/>
          <w:sz w:val="22"/>
          <w:szCs w:val="22"/>
          <w:highlight w:val="green"/>
          <w:lang w:val="tr-TR" w:eastAsia="tr-TR"/>
        </w:rPr>
      </w:pPr>
      <w:r w:rsidRPr="00881017">
        <w:rPr>
          <w:snapToGrid/>
          <w:sz w:val="22"/>
          <w:szCs w:val="22"/>
          <w:highlight w:val="green"/>
          <w:lang w:val="tr-TR" w:eastAsia="tr-TR"/>
        </w:rPr>
        <w:t>Social Safety Net Programme</w:t>
      </w:r>
    </w:p>
    <w:p w14:paraId="0B82566B" w14:textId="77777777" w:rsidR="00881017" w:rsidRDefault="00881017" w:rsidP="00881017">
      <w:pPr>
        <w:pStyle w:val="ListeParagraf"/>
        <w:spacing w:before="0" w:after="120" w:line="240" w:lineRule="atLeast"/>
        <w:ind w:left="1069"/>
        <w:jc w:val="center"/>
        <w:rPr>
          <w:snapToGrid/>
          <w:sz w:val="22"/>
          <w:szCs w:val="22"/>
          <w:lang w:val="tr-TR" w:eastAsia="tr-TR"/>
        </w:rPr>
      </w:pPr>
      <w:r w:rsidRPr="00881017">
        <w:rPr>
          <w:snapToGrid/>
          <w:sz w:val="22"/>
          <w:szCs w:val="22"/>
          <w:highlight w:val="green"/>
          <w:lang w:val="tr-TR" w:eastAsia="tr-TR"/>
        </w:rPr>
        <w:t>(SSN</w:t>
      </w:r>
      <w:r>
        <w:rPr>
          <w:snapToGrid/>
          <w:sz w:val="22"/>
          <w:szCs w:val="22"/>
          <w:highlight w:val="green"/>
          <w:lang w:val="tr-TR" w:eastAsia="tr-TR"/>
        </w:rPr>
        <w:t xml:space="preserve"> </w:t>
      </w:r>
      <w:r w:rsidRPr="00881017">
        <w:rPr>
          <w:snapToGrid/>
          <w:sz w:val="22"/>
          <w:szCs w:val="22"/>
          <w:highlight w:val="green"/>
          <w:lang w:val="tr-TR" w:eastAsia="tr-TR"/>
        </w:rPr>
        <w:t>Programme)</w:t>
      </w:r>
    </w:p>
    <w:p w14:paraId="79EA2F8D" w14:textId="77777777" w:rsidR="00881017" w:rsidRDefault="00881017" w:rsidP="008812B5">
      <w:pPr>
        <w:pStyle w:val="ListeParagraf"/>
        <w:spacing w:before="0" w:after="120" w:line="240" w:lineRule="atLeast"/>
        <w:ind w:left="1069"/>
        <w:jc w:val="center"/>
        <w:rPr>
          <w:snapToGrid/>
          <w:sz w:val="22"/>
          <w:szCs w:val="22"/>
          <w:highlight w:val="green"/>
          <w:lang w:val="tr-TR" w:eastAsia="fr-BE"/>
        </w:rPr>
      </w:pPr>
    </w:p>
    <w:p w14:paraId="367F5BCC" w14:textId="0D150193" w:rsidR="008812B5" w:rsidRPr="006D78C9" w:rsidRDefault="008812B5" w:rsidP="008812B5">
      <w:pPr>
        <w:pStyle w:val="ListeParagraf"/>
        <w:spacing w:before="0" w:after="120" w:line="240" w:lineRule="atLeast"/>
        <w:ind w:left="1069"/>
        <w:jc w:val="center"/>
        <w:rPr>
          <w:sz w:val="22"/>
          <w:szCs w:val="22"/>
          <w:highlight w:val="green"/>
          <w:lang w:val="tr-TR"/>
        </w:rPr>
      </w:pPr>
      <w:r w:rsidRPr="006D78C9">
        <w:rPr>
          <w:snapToGrid/>
          <w:sz w:val="22"/>
          <w:szCs w:val="22"/>
          <w:highlight w:val="green"/>
          <w:lang w:val="tr-TR" w:eastAsia="fr-BE"/>
        </w:rPr>
        <w:t>Çukurambar Mahallesi Malcolm X Caddesi No:22 Çankaya/Ankara/TÜRKİYE</w:t>
      </w:r>
    </w:p>
    <w:p w14:paraId="48B6C302" w14:textId="56465C98" w:rsidR="008812B5" w:rsidRPr="006D78C9" w:rsidRDefault="008812B5" w:rsidP="008812B5">
      <w:pPr>
        <w:pStyle w:val="ListeParagraf"/>
        <w:spacing w:before="0" w:after="120" w:line="240" w:lineRule="atLeast"/>
        <w:ind w:left="1069"/>
        <w:jc w:val="center"/>
        <w:rPr>
          <w:sz w:val="22"/>
          <w:szCs w:val="22"/>
          <w:highlight w:val="green"/>
          <w:lang w:val="tr-TR"/>
        </w:rPr>
      </w:pPr>
    </w:p>
    <w:p w14:paraId="26640729" w14:textId="77777777" w:rsidR="008812B5" w:rsidRPr="0074547A" w:rsidRDefault="008812B5" w:rsidP="008812B5">
      <w:pPr>
        <w:pStyle w:val="Blockquote"/>
        <w:spacing w:before="0" w:after="240"/>
        <w:ind w:left="1069" w:right="357"/>
        <w:jc w:val="center"/>
        <w:rPr>
          <w:sz w:val="22"/>
          <w:szCs w:val="22"/>
          <w:lang w:val="en-GB"/>
        </w:rPr>
      </w:pPr>
      <w:r w:rsidRPr="008812B5">
        <w:rPr>
          <w:sz w:val="22"/>
          <w:szCs w:val="22"/>
          <w:highlight w:val="green"/>
          <w:lang w:val="en-GB"/>
        </w:rPr>
        <w:t>The opening hours of the Contracting Authority are 09:00-18:00</w:t>
      </w:r>
    </w:p>
    <w:p w14:paraId="7D2712FE" w14:textId="77777777" w:rsidR="008812B5" w:rsidRDefault="008812B5" w:rsidP="008812B5">
      <w:pPr>
        <w:pStyle w:val="PRAGHeading2"/>
        <w:numPr>
          <w:ilvl w:val="0"/>
          <w:numId w:val="0"/>
        </w:numPr>
        <w:spacing w:before="0" w:after="120" w:line="240" w:lineRule="atLeast"/>
        <w:jc w:val="both"/>
        <w:rPr>
          <w:rStyle w:val="Gl"/>
          <w:sz w:val="22"/>
          <w:szCs w:val="22"/>
          <w:highlight w:val="lightGray"/>
          <w:lang w:val="en-GB"/>
        </w:rPr>
      </w:pPr>
    </w:p>
    <w:p w14:paraId="08F96F81" w14:textId="64539383" w:rsidR="002674CB" w:rsidRDefault="00AE41D2" w:rsidP="00C3074F">
      <w:pPr>
        <w:pStyle w:val="PRAGHeading2"/>
        <w:tabs>
          <w:tab w:val="clear" w:pos="567"/>
          <w:tab w:val="num" w:pos="426"/>
        </w:tabs>
        <w:spacing w:before="240" w:after="120" w:line="240" w:lineRule="atLeast"/>
        <w:ind w:hanging="567"/>
        <w:rPr>
          <w:snapToGrid/>
          <w:sz w:val="22"/>
          <w:highlight w:val="lightGray"/>
          <w:lang w:val="en-GB"/>
        </w:rPr>
      </w:pPr>
      <w:r w:rsidRPr="00FA24DB">
        <w:rPr>
          <w:rStyle w:val="Gl"/>
          <w:highlight w:val="lightGray"/>
          <w:lang w:val="en-GB"/>
        </w:rPr>
        <w:t xml:space="preserve">Deadline for submission of </w:t>
      </w:r>
      <w:r w:rsidR="00000631" w:rsidRPr="000C71C6">
        <w:rPr>
          <w:rStyle w:val="Gl"/>
          <w:highlight w:val="lightGray"/>
          <w:lang w:val="en-GB"/>
        </w:rPr>
        <w:t>requests to participate</w:t>
      </w:r>
      <w:r w:rsidR="002F1DF5" w:rsidRPr="00FA24DB" w:rsidDel="002F1DF5">
        <w:rPr>
          <w:snapToGrid/>
          <w:sz w:val="22"/>
          <w:highlight w:val="lightGray"/>
          <w:lang w:val="en-GB"/>
        </w:rPr>
        <w:t xml:space="preserve"> </w:t>
      </w:r>
    </w:p>
    <w:p w14:paraId="75537BC9" w14:textId="77777777" w:rsidR="008812B5" w:rsidRPr="008812B5" w:rsidRDefault="008812B5" w:rsidP="008812B5">
      <w:pPr>
        <w:pStyle w:val="PRAGHeading2"/>
        <w:numPr>
          <w:ilvl w:val="0"/>
          <w:numId w:val="0"/>
        </w:numPr>
        <w:spacing w:before="240" w:after="120" w:line="240" w:lineRule="atLeast"/>
        <w:ind w:left="567"/>
        <w:rPr>
          <w:snapToGrid/>
          <w:sz w:val="22"/>
          <w:lang w:val="en-GB"/>
        </w:rPr>
      </w:pPr>
      <w:r w:rsidRPr="008812B5">
        <w:rPr>
          <w:snapToGrid/>
          <w:sz w:val="22"/>
          <w:lang w:val="en-GB"/>
        </w:rPr>
        <w:t>The candidate’s attention is drawn to the fact that there are two different systems for sending requests to participate: one is by post or private mail service, the other is by hand delivery.</w:t>
      </w:r>
    </w:p>
    <w:p w14:paraId="1EC0B69F" w14:textId="77777777" w:rsidR="008812B5" w:rsidRPr="008812B5" w:rsidRDefault="008812B5" w:rsidP="008812B5">
      <w:pPr>
        <w:pStyle w:val="PRAGHeading2"/>
        <w:numPr>
          <w:ilvl w:val="0"/>
          <w:numId w:val="0"/>
        </w:numPr>
        <w:spacing w:before="240" w:after="120" w:line="240" w:lineRule="atLeast"/>
        <w:ind w:left="567"/>
        <w:rPr>
          <w:snapToGrid/>
          <w:sz w:val="22"/>
          <w:lang w:val="en-GB"/>
        </w:rPr>
      </w:pPr>
      <w:r w:rsidRPr="008812B5">
        <w:rPr>
          <w:snapToGrid/>
          <w:sz w:val="22"/>
          <w:lang w:val="en-GB"/>
        </w:rPr>
        <w:lastRenderedPageBreak/>
        <w:t>In the first case, the request to participate must be sent before the date and time-limit for submission, as evidenced by the postmark or deposit slip , but in the second case it is the acknowledgment of receipt given at the time of the delivery of the request to participate that will serve as proof.</w:t>
      </w:r>
    </w:p>
    <w:p w14:paraId="622ABB1D" w14:textId="77777777" w:rsidR="008812B5" w:rsidRPr="008812B5" w:rsidRDefault="008812B5" w:rsidP="008812B5">
      <w:pPr>
        <w:pStyle w:val="PRAGHeading2"/>
        <w:numPr>
          <w:ilvl w:val="0"/>
          <w:numId w:val="0"/>
        </w:numPr>
        <w:spacing w:before="240" w:after="120" w:line="240" w:lineRule="atLeast"/>
        <w:ind w:left="567"/>
        <w:rPr>
          <w:snapToGrid/>
          <w:sz w:val="22"/>
          <w:lang w:val="en-GB"/>
        </w:rPr>
      </w:pPr>
      <w:r w:rsidRPr="008812B5">
        <w:rPr>
          <w:snapToGrid/>
          <w:sz w:val="22"/>
          <w:lang w:val="en-GB"/>
        </w:rPr>
        <w:t>The deadline for submission of requests to participate can be found in the contract notice.</w:t>
      </w:r>
    </w:p>
    <w:p w14:paraId="754EE306" w14:textId="1C594112" w:rsidR="008812B5" w:rsidRPr="00FA24DB" w:rsidRDefault="008812B5" w:rsidP="008812B5">
      <w:pPr>
        <w:pStyle w:val="PRAGHeading2"/>
        <w:numPr>
          <w:ilvl w:val="0"/>
          <w:numId w:val="0"/>
        </w:numPr>
        <w:spacing w:before="240" w:after="120" w:line="240" w:lineRule="atLeast"/>
        <w:rPr>
          <w:snapToGrid/>
          <w:sz w:val="22"/>
          <w:highlight w:val="lightGray"/>
          <w:lang w:val="en-GB"/>
        </w:rPr>
      </w:pPr>
      <w:r w:rsidRPr="008812B5">
        <w:rPr>
          <w:snapToGrid/>
          <w:sz w:val="22"/>
          <w:lang w:val="en-GB"/>
        </w:rPr>
        <w:t>Any request to participate sent to the contracting authority after this deadline will not be considered. The contracting authority may, for reasons of administrative efficiency, reject any request for participation submitted on time but received, for any reason beyond the contracting authority's control, after the effective date of approval of the short-list report, if accepting requests to participate that were submitted on time but arrived late would considerably delay the evaluation procedure or jeopardise decisions already taken and notified.</w:t>
      </w:r>
    </w:p>
    <w:p w14:paraId="3AEA1220" w14:textId="77777777" w:rsidR="00765594" w:rsidRPr="00FA24DB" w:rsidRDefault="00765594" w:rsidP="00C3074F">
      <w:pPr>
        <w:pStyle w:val="PRAGHeading2"/>
        <w:tabs>
          <w:tab w:val="clear" w:pos="567"/>
          <w:tab w:val="num" w:pos="426"/>
        </w:tabs>
        <w:spacing w:before="240" w:after="120" w:line="240" w:lineRule="atLeast"/>
        <w:ind w:hanging="567"/>
        <w:rPr>
          <w:rStyle w:val="Gl"/>
          <w:sz w:val="22"/>
          <w:szCs w:val="22"/>
          <w:highlight w:val="lightGray"/>
          <w:lang w:val="en-GB"/>
        </w:rPr>
      </w:pPr>
      <w:r w:rsidRPr="00FA24DB">
        <w:rPr>
          <w:rStyle w:val="Gl"/>
          <w:sz w:val="22"/>
          <w:szCs w:val="22"/>
          <w:highlight w:val="lightGray"/>
          <w:lang w:val="en-GB"/>
        </w:rPr>
        <w:t>Clarifications on the contract notice</w:t>
      </w:r>
    </w:p>
    <w:p w14:paraId="6682AEDA" w14:textId="77777777" w:rsidR="008812B5" w:rsidRPr="008812B5" w:rsidRDefault="008812B5" w:rsidP="008812B5">
      <w:pPr>
        <w:pStyle w:val="PRAGHeading2"/>
        <w:numPr>
          <w:ilvl w:val="0"/>
          <w:numId w:val="0"/>
        </w:numPr>
        <w:spacing w:before="0" w:after="120" w:line="240" w:lineRule="atLeast"/>
        <w:ind w:left="426"/>
        <w:jc w:val="both"/>
        <w:rPr>
          <w:sz w:val="22"/>
          <w:szCs w:val="22"/>
          <w:lang w:val="en-GB"/>
        </w:rPr>
      </w:pPr>
      <w:r w:rsidRPr="008812B5">
        <w:rPr>
          <w:sz w:val="22"/>
          <w:szCs w:val="22"/>
          <w:lang w:val="en-GB"/>
        </w:rPr>
        <w:t xml:space="preserve">Any request for clarification should be made in writing via fritsatinalma@aile.gov.tr and muammer.ozkarakaya@aile.gov.tr/ burak.yildiz@aile.gov.tr </w:t>
      </w:r>
    </w:p>
    <w:p w14:paraId="3E7AD26A" w14:textId="77777777" w:rsidR="008812B5" w:rsidRPr="008812B5" w:rsidRDefault="008812B5" w:rsidP="008812B5">
      <w:pPr>
        <w:pStyle w:val="PRAGHeading2"/>
        <w:numPr>
          <w:ilvl w:val="0"/>
          <w:numId w:val="0"/>
        </w:numPr>
        <w:spacing w:before="0" w:after="120" w:line="240" w:lineRule="atLeast"/>
        <w:ind w:left="426"/>
        <w:jc w:val="both"/>
        <w:rPr>
          <w:sz w:val="22"/>
          <w:szCs w:val="22"/>
          <w:lang w:val="en-GB"/>
        </w:rPr>
      </w:pPr>
      <w:r w:rsidRPr="008812B5">
        <w:rPr>
          <w:sz w:val="22"/>
          <w:szCs w:val="22"/>
          <w:lang w:val="en-GB"/>
        </w:rPr>
        <w:t>This concerns request for clarifications about the contract notice and also request for clarifications about the content of the document called.</w:t>
      </w:r>
    </w:p>
    <w:p w14:paraId="08E6F198" w14:textId="77777777" w:rsidR="008812B5" w:rsidRPr="008812B5" w:rsidRDefault="008812B5" w:rsidP="008812B5">
      <w:pPr>
        <w:pStyle w:val="PRAGHeading2"/>
        <w:numPr>
          <w:ilvl w:val="0"/>
          <w:numId w:val="0"/>
        </w:numPr>
        <w:spacing w:before="0" w:after="120" w:line="240" w:lineRule="atLeast"/>
        <w:ind w:left="426"/>
        <w:jc w:val="both"/>
        <w:rPr>
          <w:sz w:val="22"/>
          <w:szCs w:val="22"/>
          <w:lang w:val="en-GB"/>
        </w:rPr>
      </w:pPr>
      <w:r w:rsidRPr="008812B5">
        <w:rPr>
          <w:sz w:val="22"/>
          <w:szCs w:val="22"/>
          <w:lang w:val="en-GB"/>
        </w:rPr>
        <w:t>Explanations regarding the tender file can be requested from the above-mentioned e-mail addresses until 21 days before the deadline for the submission of the aforementioned participation requests.</w:t>
      </w:r>
    </w:p>
    <w:p w14:paraId="1DF59E5E" w14:textId="1ECF19D4" w:rsidR="00765594" w:rsidRPr="00383B48" w:rsidRDefault="008812B5" w:rsidP="008812B5">
      <w:pPr>
        <w:pStyle w:val="PRAGHeading2"/>
        <w:numPr>
          <w:ilvl w:val="0"/>
          <w:numId w:val="0"/>
        </w:numPr>
        <w:spacing w:before="0" w:after="120" w:line="240" w:lineRule="atLeast"/>
        <w:ind w:left="426"/>
        <w:jc w:val="both"/>
        <w:rPr>
          <w:sz w:val="22"/>
          <w:szCs w:val="22"/>
          <w:highlight w:val="lightGray"/>
          <w:lang w:val="en-GB"/>
        </w:rPr>
      </w:pPr>
      <w:r w:rsidRPr="008812B5">
        <w:rPr>
          <w:sz w:val="22"/>
          <w:szCs w:val="22"/>
          <w:lang w:val="en-GB"/>
        </w:rPr>
        <w:t>Announcements will be published on https://www.aile.gov.tr/sygm/duyurular no later than 8 days before the deadline for submission of requests for participation. The website will be updated regularly and it is the candidates' responsibility to check for updates and changes during the application period.</w:t>
      </w:r>
    </w:p>
    <w:p w14:paraId="72C94E44" w14:textId="77777777" w:rsidR="00B122DD" w:rsidRDefault="000507A8" w:rsidP="00C3074F">
      <w:pPr>
        <w:pStyle w:val="PRAGHeading2"/>
        <w:spacing w:before="240" w:after="120" w:line="240" w:lineRule="atLeast"/>
        <w:ind w:left="425" w:hanging="425"/>
        <w:jc w:val="both"/>
        <w:rPr>
          <w:rStyle w:val="Gl"/>
          <w:sz w:val="22"/>
          <w:szCs w:val="22"/>
          <w:highlight w:val="lightGray"/>
          <w:lang w:val="en-GB"/>
        </w:rPr>
      </w:pPr>
      <w:r>
        <w:rPr>
          <w:rStyle w:val="Gl"/>
          <w:sz w:val="22"/>
          <w:szCs w:val="22"/>
          <w:highlight w:val="lightGray"/>
          <w:lang w:val="en-GB"/>
        </w:rPr>
        <w:t>O</w:t>
      </w:r>
      <w:r w:rsidR="00B122DD">
        <w:rPr>
          <w:rStyle w:val="Gl"/>
          <w:sz w:val="22"/>
          <w:szCs w:val="22"/>
          <w:highlight w:val="lightGray"/>
          <w:lang w:val="en-GB"/>
        </w:rPr>
        <w:t>utcome</w:t>
      </w:r>
      <w:r>
        <w:rPr>
          <w:rStyle w:val="Gl"/>
          <w:sz w:val="22"/>
          <w:szCs w:val="22"/>
          <w:highlight w:val="lightGray"/>
          <w:lang w:val="en-GB"/>
        </w:rPr>
        <w:t xml:space="preserve"> of the evaluation</w:t>
      </w:r>
    </w:p>
    <w:p w14:paraId="11FC1023" w14:textId="0E1F4C1E" w:rsidR="00B122DD" w:rsidRDefault="008812B5" w:rsidP="00C3074F">
      <w:pPr>
        <w:pStyle w:val="PRAGHeading2"/>
        <w:numPr>
          <w:ilvl w:val="0"/>
          <w:numId w:val="0"/>
        </w:numPr>
        <w:spacing w:before="0" w:after="120" w:line="240" w:lineRule="atLeast"/>
        <w:ind w:left="426"/>
        <w:jc w:val="both"/>
        <w:rPr>
          <w:rStyle w:val="Gl"/>
          <w:sz w:val="22"/>
          <w:szCs w:val="22"/>
          <w:highlight w:val="lightGray"/>
          <w:lang w:val="en-GB"/>
        </w:rPr>
      </w:pPr>
      <w:r w:rsidRPr="0074547A">
        <w:rPr>
          <w:sz w:val="22"/>
          <w:szCs w:val="22"/>
          <w:lang w:val="en-GB"/>
        </w:rPr>
        <w:t>By submitting a request to participate candidates accept to receive notification of the outcome of the procedure by electronic means. Such notification shall be deemed to have been received on the date upon which the contracting authority sends it to the electronic address referred to in the request to participate form</w:t>
      </w:r>
    </w:p>
    <w:p w14:paraId="0E03C112" w14:textId="3685A29D" w:rsidR="00AA22A5" w:rsidRPr="0025703B" w:rsidRDefault="00AA22A5" w:rsidP="00C3074F">
      <w:pPr>
        <w:pStyle w:val="PRAGHeading2"/>
        <w:spacing w:before="240" w:after="120" w:line="240" w:lineRule="atLeast"/>
        <w:ind w:left="425" w:hanging="425"/>
        <w:jc w:val="both"/>
        <w:rPr>
          <w:rStyle w:val="Gl"/>
          <w:sz w:val="22"/>
          <w:szCs w:val="22"/>
          <w:highlight w:val="lightGray"/>
          <w:lang w:val="en-GB"/>
        </w:rPr>
      </w:pPr>
      <w:r w:rsidRPr="0025703B">
        <w:rPr>
          <w:rStyle w:val="Gl"/>
          <w:sz w:val="22"/>
          <w:szCs w:val="22"/>
          <w:highlight w:val="lightGray"/>
          <w:lang w:val="en-GB"/>
        </w:rPr>
        <w:t xml:space="preserve">Alteration or withdrawal of </w:t>
      </w:r>
      <w:r w:rsidR="002F1DF5">
        <w:rPr>
          <w:rStyle w:val="Gl"/>
          <w:sz w:val="22"/>
          <w:szCs w:val="22"/>
          <w:highlight w:val="lightGray"/>
          <w:lang w:val="en-GB"/>
        </w:rPr>
        <w:t>requests to participate</w:t>
      </w:r>
    </w:p>
    <w:p w14:paraId="02CF0D61" w14:textId="77777777" w:rsidR="00B4766A" w:rsidRPr="0085404F" w:rsidRDefault="00B4766A" w:rsidP="00B4766A">
      <w:pPr>
        <w:pStyle w:val="PRAGHeading2"/>
        <w:numPr>
          <w:ilvl w:val="0"/>
          <w:numId w:val="0"/>
        </w:numPr>
        <w:ind w:left="567"/>
        <w:rPr>
          <w:lang w:val="en-US"/>
        </w:rPr>
      </w:pPr>
      <w:r w:rsidRPr="0085404F">
        <w:rPr>
          <w:lang w:val="en-US"/>
        </w:rPr>
        <w:t xml:space="preserve">Candidates may alter or withdraw their requests to participate by written notification prior to the deadline for submission of requests to participate. No requests to participate may be altered after this deadline. </w:t>
      </w:r>
    </w:p>
    <w:p w14:paraId="792B83D4" w14:textId="3E716515" w:rsidR="00D275E6" w:rsidRPr="0085404F" w:rsidRDefault="00B4766A" w:rsidP="00B4766A">
      <w:pPr>
        <w:pStyle w:val="PRAGHeading2"/>
        <w:numPr>
          <w:ilvl w:val="0"/>
          <w:numId w:val="0"/>
        </w:numPr>
        <w:ind w:left="567"/>
        <w:rPr>
          <w:b/>
          <w:bCs/>
          <w:lang w:val="en-US"/>
        </w:rPr>
      </w:pPr>
      <w:r w:rsidRPr="0085404F">
        <w:rPr>
          <w:lang w:val="en-US"/>
        </w:rPr>
        <w:t>Any such notification of alteration or withdrawal shall be prepared and submitted in accordance with precedent item. The outer envelope (and the relevant inner envelope if used) must be marked ‘Alteration’ or ‘Withdrawal’ as appropriate</w:t>
      </w:r>
    </w:p>
    <w:p w14:paraId="04F91FF2" w14:textId="1D0C39FD" w:rsidR="00EA0609" w:rsidRPr="00EA0609" w:rsidRDefault="00D275E6" w:rsidP="00C3074F">
      <w:pPr>
        <w:spacing w:before="720" w:after="120" w:line="240" w:lineRule="atLeast"/>
        <w:jc w:val="center"/>
        <w:rPr>
          <w:i/>
          <w:lang w:val="en-GB"/>
        </w:rPr>
      </w:pPr>
      <w:r>
        <w:rPr>
          <w:b/>
          <w:bCs/>
          <w:sz w:val="22"/>
          <w:szCs w:val="22"/>
          <w:lang w:val="en-GB"/>
        </w:rPr>
        <w:t>***</w:t>
      </w:r>
    </w:p>
    <w:sectPr w:rsidR="00EA0609" w:rsidRPr="00EA0609" w:rsidSect="00C3074F">
      <w:footerReference w:type="default" r:id="rId10"/>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5DC05" w14:textId="77777777" w:rsidR="00843FD9" w:rsidRDefault="00843FD9" w:rsidP="000A4362">
      <w:pPr>
        <w:spacing w:before="0" w:after="0"/>
      </w:pPr>
      <w:r>
        <w:separator/>
      </w:r>
    </w:p>
  </w:endnote>
  <w:endnote w:type="continuationSeparator" w:id="0">
    <w:p w14:paraId="48BC8FF6" w14:textId="77777777" w:rsidR="00843FD9" w:rsidRDefault="00843FD9" w:rsidP="000A43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8C86E" w14:textId="4DECE501" w:rsidR="00676F1B" w:rsidRPr="00C3074F" w:rsidRDefault="00EC4862" w:rsidP="00985673">
    <w:pPr>
      <w:pStyle w:val="AltBilgi"/>
      <w:tabs>
        <w:tab w:val="clear" w:pos="4536"/>
      </w:tabs>
      <w:rPr>
        <w:b/>
        <w:sz w:val="18"/>
        <w:szCs w:val="18"/>
        <w:lang w:val="en-IE"/>
      </w:rPr>
    </w:pPr>
    <w:r w:rsidRPr="00C3074F">
      <w:rPr>
        <w:b/>
        <w:sz w:val="18"/>
        <w:szCs w:val="18"/>
        <w:lang w:val="en-IE"/>
      </w:rPr>
      <w:t>202</w:t>
    </w:r>
    <w:r w:rsidR="00A46AA1">
      <w:rPr>
        <w:b/>
        <w:sz w:val="18"/>
        <w:szCs w:val="18"/>
        <w:lang w:val="en-IE"/>
      </w:rPr>
      <w:t>5</w:t>
    </w:r>
    <w:r w:rsidR="0000449F" w:rsidRPr="00C3074F">
      <w:rPr>
        <w:bCs/>
        <w:sz w:val="18"/>
        <w:szCs w:val="18"/>
        <w:lang w:val="en-IE"/>
      </w:rPr>
      <w:tab/>
      <w:t xml:space="preserve">Page </w:t>
    </w:r>
    <w:r w:rsidR="0000449F" w:rsidRPr="009C608B">
      <w:rPr>
        <w:bCs/>
        <w:sz w:val="18"/>
        <w:szCs w:val="18"/>
        <w:lang w:val="en-GB"/>
      </w:rPr>
      <w:fldChar w:fldCharType="begin"/>
    </w:r>
    <w:r w:rsidR="0000449F" w:rsidRPr="009C608B">
      <w:rPr>
        <w:bCs/>
        <w:sz w:val="18"/>
        <w:szCs w:val="18"/>
        <w:lang w:val="en-GB"/>
      </w:rPr>
      <w:instrText xml:space="preserve"> PAGE   \* MERGEFORMAT </w:instrText>
    </w:r>
    <w:r w:rsidR="0000449F" w:rsidRPr="009C608B">
      <w:rPr>
        <w:bCs/>
        <w:sz w:val="18"/>
        <w:szCs w:val="18"/>
        <w:lang w:val="en-GB"/>
      </w:rPr>
      <w:fldChar w:fldCharType="separate"/>
    </w:r>
    <w:r w:rsidR="00033ECE">
      <w:rPr>
        <w:bCs/>
        <w:noProof/>
        <w:sz w:val="18"/>
        <w:szCs w:val="18"/>
        <w:lang w:val="en-GB"/>
      </w:rPr>
      <w:t>2</w:t>
    </w:r>
    <w:r w:rsidR="0000449F" w:rsidRPr="009C608B">
      <w:rPr>
        <w:bCs/>
        <w:noProof/>
        <w:sz w:val="18"/>
        <w:szCs w:val="18"/>
        <w:lang w:val="en-GB"/>
      </w:rPr>
      <w:fldChar w:fldCharType="end"/>
    </w:r>
    <w:r w:rsidR="0000449F" w:rsidRPr="009C608B">
      <w:rPr>
        <w:bCs/>
        <w:noProof/>
        <w:sz w:val="18"/>
        <w:szCs w:val="18"/>
        <w:lang w:val="en-GB"/>
      </w:rPr>
      <w:t xml:space="preserve"> of </w:t>
    </w:r>
    <w:r w:rsidR="0000449F" w:rsidRPr="009C608B">
      <w:rPr>
        <w:bCs/>
        <w:noProof/>
        <w:sz w:val="18"/>
        <w:szCs w:val="18"/>
        <w:lang w:val="en-GB"/>
      </w:rPr>
      <w:fldChar w:fldCharType="begin"/>
    </w:r>
    <w:r w:rsidR="0000449F" w:rsidRPr="009C608B">
      <w:rPr>
        <w:bCs/>
        <w:noProof/>
        <w:sz w:val="18"/>
        <w:szCs w:val="18"/>
        <w:lang w:val="en-GB"/>
      </w:rPr>
      <w:instrText xml:space="preserve"> NUMPAGES   \* MERGEFORMAT </w:instrText>
    </w:r>
    <w:r w:rsidR="0000449F" w:rsidRPr="009C608B">
      <w:rPr>
        <w:bCs/>
        <w:noProof/>
        <w:sz w:val="18"/>
        <w:szCs w:val="18"/>
        <w:lang w:val="en-GB"/>
      </w:rPr>
      <w:fldChar w:fldCharType="separate"/>
    </w:r>
    <w:r w:rsidR="00033ECE">
      <w:rPr>
        <w:bCs/>
        <w:noProof/>
        <w:sz w:val="18"/>
        <w:szCs w:val="18"/>
        <w:lang w:val="en-GB"/>
      </w:rPr>
      <w:t>7</w:t>
    </w:r>
    <w:r w:rsidR="0000449F" w:rsidRPr="009C608B">
      <w:rPr>
        <w:bCs/>
        <w:noProof/>
        <w:sz w:val="18"/>
        <w:szCs w:val="18"/>
        <w:lang w:val="en-GB"/>
      </w:rPr>
      <w:fldChar w:fldCharType="end"/>
    </w:r>
  </w:p>
  <w:p w14:paraId="2545F9B3" w14:textId="6ADC099A" w:rsidR="003335AD" w:rsidRPr="009C608B" w:rsidRDefault="009C608B" w:rsidP="00985673">
    <w:pPr>
      <w:pStyle w:val="AltBilgi"/>
      <w:tabs>
        <w:tab w:val="clear" w:pos="4536"/>
      </w:tabs>
      <w:rPr>
        <w:bCs/>
        <w:sz w:val="18"/>
        <w:szCs w:val="18"/>
        <w:lang w:val="en-GB"/>
      </w:rPr>
    </w:pPr>
    <w:r w:rsidRPr="00985673">
      <w:rPr>
        <w:bCs/>
        <w:sz w:val="18"/>
        <w:szCs w:val="18"/>
        <w:lang w:val="fr-BE"/>
      </w:rPr>
      <w:fldChar w:fldCharType="begin"/>
    </w:r>
    <w:r w:rsidRPr="00C3074F">
      <w:rPr>
        <w:bCs/>
        <w:sz w:val="18"/>
        <w:szCs w:val="18"/>
        <w:lang w:val="en-IE"/>
      </w:rPr>
      <w:instrText xml:space="preserve"> FILENAME   \* MERGEFORMAT </w:instrText>
    </w:r>
    <w:r w:rsidRPr="00985673">
      <w:rPr>
        <w:bCs/>
        <w:sz w:val="18"/>
        <w:szCs w:val="18"/>
        <w:lang w:val="fr-BE"/>
      </w:rPr>
      <w:fldChar w:fldCharType="separate"/>
    </w:r>
    <w:r w:rsidR="00C3074F" w:rsidRPr="00C3074F">
      <w:rPr>
        <w:bCs/>
        <w:noProof/>
        <w:sz w:val="18"/>
        <w:szCs w:val="18"/>
        <w:lang w:val="en-IE"/>
      </w:rPr>
      <w:t>a5f_additional_information_contract_notice_en.docx</w:t>
    </w:r>
    <w:r w:rsidRPr="00985673">
      <w:rPr>
        <w:bCs/>
        <w:sz w:val="18"/>
        <w:szCs w:val="18"/>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52C8F" w14:textId="77777777" w:rsidR="00843FD9" w:rsidRDefault="00843FD9" w:rsidP="000A4362">
      <w:pPr>
        <w:spacing w:before="0" w:after="0"/>
      </w:pPr>
      <w:r>
        <w:separator/>
      </w:r>
    </w:p>
  </w:footnote>
  <w:footnote w:type="continuationSeparator" w:id="0">
    <w:p w14:paraId="241282B1" w14:textId="77777777" w:rsidR="00843FD9" w:rsidRDefault="00843FD9" w:rsidP="000A4362">
      <w:pPr>
        <w:spacing w:before="0" w:after="0"/>
      </w:pPr>
      <w:r>
        <w:continuationSeparator/>
      </w:r>
    </w:p>
  </w:footnote>
  <w:footnote w:id="1">
    <w:p w14:paraId="41FB4B3E" w14:textId="77D39456" w:rsidR="00D831C6" w:rsidRPr="00D831C6" w:rsidRDefault="00D831C6" w:rsidP="00C3074F">
      <w:pPr>
        <w:pStyle w:val="DipnotMetni"/>
        <w:ind w:left="284" w:hanging="284"/>
        <w:jc w:val="both"/>
      </w:pPr>
      <w:r>
        <w:rPr>
          <w:rStyle w:val="DipnotBavurusu"/>
        </w:rPr>
        <w:footnoteRef/>
      </w:r>
      <w:r w:rsidR="003C7F27">
        <w:tab/>
      </w:r>
      <w:r w:rsidRPr="00C3074F">
        <w:rPr>
          <w:sz w:val="18"/>
          <w:szCs w:val="18"/>
        </w:rPr>
        <w:t>Please note that the EU Official Journal contains the official list of entities subject to restrictive measures and, in case of conflict, it prevails over the list of the </w:t>
      </w:r>
      <w:hyperlink r:id="rId1" w:anchor="/main" w:tgtFrame="_blank" w:history="1">
        <w:r w:rsidRPr="00C3074F">
          <w:rPr>
            <w:rStyle w:val="Kpr"/>
            <w:color w:val="0070C0"/>
            <w:sz w:val="18"/>
            <w:szCs w:val="18"/>
          </w:rPr>
          <w:t>EU Sanctions Map</w:t>
        </w:r>
      </w:hyperlink>
      <w:r w:rsidRPr="00C3074F">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0B27DF"/>
    <w:multiLevelType w:val="hybridMultilevel"/>
    <w:tmpl w:val="B07645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602FA3"/>
    <w:multiLevelType w:val="hybridMultilevel"/>
    <w:tmpl w:val="7C728BF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0A377EAC"/>
    <w:multiLevelType w:val="hybridMultilevel"/>
    <w:tmpl w:val="D452FF9A"/>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6"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CA70A47"/>
    <w:multiLevelType w:val="singleLevel"/>
    <w:tmpl w:val="04090001"/>
    <w:lvl w:ilvl="0">
      <w:start w:val="1"/>
      <w:numFmt w:val="bullet"/>
      <w:lvlText w:val=""/>
      <w:lvlJc w:val="left"/>
      <w:pPr>
        <w:tabs>
          <w:tab w:val="num" w:pos="1070"/>
        </w:tabs>
        <w:ind w:left="1070" w:hanging="360"/>
      </w:pPr>
      <w:rPr>
        <w:rFonts w:ascii="Symbol" w:hAnsi="Symbol" w:hint="default"/>
      </w:rPr>
    </w:lvl>
  </w:abstractNum>
  <w:abstractNum w:abstractNumId="8"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905FAE"/>
    <w:multiLevelType w:val="hybridMultilevel"/>
    <w:tmpl w:val="EDDA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D30DE2"/>
    <w:multiLevelType w:val="hybridMultilevel"/>
    <w:tmpl w:val="4446ACEC"/>
    <w:lvl w:ilvl="0" w:tplc="B2469D4E">
      <w:start w:val="1"/>
      <w:numFmt w:val="decimal"/>
      <w:lvlText w:val="%1)"/>
      <w:lvlJc w:val="left"/>
      <w:pPr>
        <w:ind w:left="840" w:hanging="360"/>
      </w:pPr>
      <w:rPr>
        <w:rFonts w:hint="default"/>
        <w:b/>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2AE13306"/>
    <w:multiLevelType w:val="hybridMultilevel"/>
    <w:tmpl w:val="40D466EC"/>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0B54D60"/>
    <w:multiLevelType w:val="hybridMultilevel"/>
    <w:tmpl w:val="2F8C702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28F5612"/>
    <w:multiLevelType w:val="hybridMultilevel"/>
    <w:tmpl w:val="70EEBF32"/>
    <w:lvl w:ilvl="0" w:tplc="607E57BA">
      <w:start w:val="1"/>
      <w:numFmt w:val="bullet"/>
      <w:lvlText w:val=""/>
      <w:lvlJc w:val="left"/>
      <w:pPr>
        <w:ind w:left="1080" w:hanging="360"/>
      </w:pPr>
      <w:rPr>
        <w:rFonts w:ascii="Symbol" w:hAnsi="Symbol"/>
      </w:rPr>
    </w:lvl>
    <w:lvl w:ilvl="1" w:tplc="035631A0">
      <w:start w:val="1"/>
      <w:numFmt w:val="bullet"/>
      <w:lvlText w:val=""/>
      <w:lvlJc w:val="left"/>
      <w:pPr>
        <w:ind w:left="1080" w:hanging="360"/>
      </w:pPr>
      <w:rPr>
        <w:rFonts w:ascii="Symbol" w:hAnsi="Symbol"/>
      </w:rPr>
    </w:lvl>
    <w:lvl w:ilvl="2" w:tplc="464C6060">
      <w:start w:val="1"/>
      <w:numFmt w:val="bullet"/>
      <w:lvlText w:val=""/>
      <w:lvlJc w:val="left"/>
      <w:pPr>
        <w:ind w:left="1080" w:hanging="360"/>
      </w:pPr>
      <w:rPr>
        <w:rFonts w:ascii="Symbol" w:hAnsi="Symbol"/>
      </w:rPr>
    </w:lvl>
    <w:lvl w:ilvl="3" w:tplc="E0747228">
      <w:start w:val="1"/>
      <w:numFmt w:val="bullet"/>
      <w:lvlText w:val=""/>
      <w:lvlJc w:val="left"/>
      <w:pPr>
        <w:ind w:left="1080" w:hanging="360"/>
      </w:pPr>
      <w:rPr>
        <w:rFonts w:ascii="Symbol" w:hAnsi="Symbol"/>
      </w:rPr>
    </w:lvl>
    <w:lvl w:ilvl="4" w:tplc="DCF2D3A6">
      <w:start w:val="1"/>
      <w:numFmt w:val="bullet"/>
      <w:lvlText w:val=""/>
      <w:lvlJc w:val="left"/>
      <w:pPr>
        <w:ind w:left="1080" w:hanging="360"/>
      </w:pPr>
      <w:rPr>
        <w:rFonts w:ascii="Symbol" w:hAnsi="Symbol"/>
      </w:rPr>
    </w:lvl>
    <w:lvl w:ilvl="5" w:tplc="126650D2">
      <w:start w:val="1"/>
      <w:numFmt w:val="bullet"/>
      <w:lvlText w:val=""/>
      <w:lvlJc w:val="left"/>
      <w:pPr>
        <w:ind w:left="1080" w:hanging="360"/>
      </w:pPr>
      <w:rPr>
        <w:rFonts w:ascii="Symbol" w:hAnsi="Symbol"/>
      </w:rPr>
    </w:lvl>
    <w:lvl w:ilvl="6" w:tplc="03423B54">
      <w:start w:val="1"/>
      <w:numFmt w:val="bullet"/>
      <w:lvlText w:val=""/>
      <w:lvlJc w:val="left"/>
      <w:pPr>
        <w:ind w:left="1080" w:hanging="360"/>
      </w:pPr>
      <w:rPr>
        <w:rFonts w:ascii="Symbol" w:hAnsi="Symbol"/>
      </w:rPr>
    </w:lvl>
    <w:lvl w:ilvl="7" w:tplc="60B68DE4">
      <w:start w:val="1"/>
      <w:numFmt w:val="bullet"/>
      <w:lvlText w:val=""/>
      <w:lvlJc w:val="left"/>
      <w:pPr>
        <w:ind w:left="1080" w:hanging="360"/>
      </w:pPr>
      <w:rPr>
        <w:rFonts w:ascii="Symbol" w:hAnsi="Symbol"/>
      </w:rPr>
    </w:lvl>
    <w:lvl w:ilvl="8" w:tplc="E7C2A09C">
      <w:start w:val="1"/>
      <w:numFmt w:val="bullet"/>
      <w:lvlText w:val=""/>
      <w:lvlJc w:val="left"/>
      <w:pPr>
        <w:ind w:left="1080" w:hanging="360"/>
      </w:pPr>
      <w:rPr>
        <w:rFonts w:ascii="Symbol" w:hAnsi="Symbol"/>
      </w:rPr>
    </w:lvl>
  </w:abstractNum>
  <w:abstractNum w:abstractNumId="15" w15:restartNumberingAfterBreak="0">
    <w:nsid w:val="329F3AF8"/>
    <w:multiLevelType w:val="hybridMultilevel"/>
    <w:tmpl w:val="0F2097B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17" w15:restartNumberingAfterBreak="0">
    <w:nsid w:val="35DA37BB"/>
    <w:multiLevelType w:val="hybridMultilevel"/>
    <w:tmpl w:val="BD88BB4A"/>
    <w:lvl w:ilvl="0" w:tplc="3C0AA8A8">
      <w:start w:val="11"/>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362970D7"/>
    <w:multiLevelType w:val="hybridMultilevel"/>
    <w:tmpl w:val="91947DDE"/>
    <w:lvl w:ilvl="0" w:tplc="323ED2D4">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9"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055ABA"/>
    <w:multiLevelType w:val="hybridMultilevel"/>
    <w:tmpl w:val="6C987360"/>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27E2AA2"/>
    <w:multiLevelType w:val="hybridMultilevel"/>
    <w:tmpl w:val="6F5A3D3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6CD60F6"/>
    <w:multiLevelType w:val="singleLevel"/>
    <w:tmpl w:val="18090001"/>
    <w:lvl w:ilvl="0">
      <w:start w:val="1"/>
      <w:numFmt w:val="bullet"/>
      <w:lvlText w:val=""/>
      <w:lvlJc w:val="left"/>
      <w:pPr>
        <w:ind w:left="720" w:hanging="360"/>
      </w:pPr>
      <w:rPr>
        <w:rFonts w:ascii="Symbol" w:hAnsi="Symbol" w:hint="default"/>
      </w:rPr>
    </w:lvl>
  </w:abstractNum>
  <w:abstractNum w:abstractNumId="23" w15:restartNumberingAfterBreak="0">
    <w:nsid w:val="4E10012B"/>
    <w:multiLevelType w:val="hybridMultilevel"/>
    <w:tmpl w:val="29A62E32"/>
    <w:lvl w:ilvl="0" w:tplc="E040BB9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4F111548"/>
    <w:multiLevelType w:val="hybridMultilevel"/>
    <w:tmpl w:val="221E3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511DF4"/>
    <w:multiLevelType w:val="hybridMultilevel"/>
    <w:tmpl w:val="8DF6A3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FA1531B"/>
    <w:multiLevelType w:val="hybridMultilevel"/>
    <w:tmpl w:val="FC001C60"/>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80F05"/>
    <w:multiLevelType w:val="hybridMultilevel"/>
    <w:tmpl w:val="C9B01B06"/>
    <w:lvl w:ilvl="0" w:tplc="0809000F">
      <w:start w:val="1"/>
      <w:numFmt w:val="decimal"/>
      <w:lvlText w:val="%1."/>
      <w:lvlJc w:val="left"/>
      <w:pPr>
        <w:tabs>
          <w:tab w:val="num" w:pos="1117"/>
        </w:tabs>
        <w:ind w:left="1117" w:hanging="397"/>
      </w:pPr>
      <w:rPr>
        <w:rFonts w:hint="default"/>
        <w:b w:val="0"/>
        <w:i w:val="0"/>
        <w:sz w:val="22"/>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EF551F7"/>
    <w:multiLevelType w:val="hybridMultilevel"/>
    <w:tmpl w:val="8CF8A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2"/>
  </w:num>
  <w:num w:numId="3">
    <w:abstractNumId w:val="7"/>
  </w:num>
  <w:num w:numId="4">
    <w:abstractNumId w:val="19"/>
  </w:num>
  <w:num w:numId="5">
    <w:abstractNumId w:val="16"/>
  </w:num>
  <w:num w:numId="6">
    <w:abstractNumId w:val="26"/>
  </w:num>
  <w:num w:numId="7">
    <w:abstractNumId w:val="6"/>
  </w:num>
  <w:num w:numId="8">
    <w:abstractNumId w:val="8"/>
  </w:num>
  <w:num w:numId="9">
    <w:abstractNumId w:val="27"/>
  </w:num>
  <w:num w:numId="10">
    <w:abstractNumId w:val="25"/>
  </w:num>
  <w:num w:numId="11">
    <w:abstractNumId w:val="17"/>
  </w:num>
  <w:num w:numId="12">
    <w:abstractNumId w:val="6"/>
  </w:num>
  <w:num w:numId="13">
    <w:abstractNumId w:val="28"/>
  </w:num>
  <w:num w:numId="14">
    <w:abstractNumId w:val="6"/>
    <w:lvlOverride w:ilvl="0">
      <w:startOverride w:val="1"/>
    </w:lvlOverride>
  </w:num>
  <w:num w:numId="1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12"/>
  </w:num>
  <w:num w:numId="17">
    <w:abstractNumId w:val="9"/>
  </w:num>
  <w:num w:numId="18">
    <w:abstractNumId w:val="24"/>
  </w:num>
  <w:num w:numId="19">
    <w:abstractNumId w:val="3"/>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23"/>
  </w:num>
  <w:num w:numId="22">
    <w:abstractNumId w:val="10"/>
  </w:num>
  <w:num w:numId="23">
    <w:abstractNumId w:val="18"/>
  </w:num>
  <w:num w:numId="24">
    <w:abstractNumId w:val="21"/>
  </w:num>
  <w:num w:numId="25">
    <w:abstractNumId w:val="4"/>
  </w:num>
  <w:num w:numId="26">
    <w:abstractNumId w:val="13"/>
  </w:num>
  <w:num w:numId="27">
    <w:abstractNumId w:val="2"/>
  </w:num>
  <w:num w:numId="28">
    <w:abstractNumId w:val="29"/>
  </w:num>
  <w:num w:numId="29">
    <w:abstractNumId w:val="11"/>
  </w:num>
  <w:num w:numId="30">
    <w:abstractNumId w:val="14"/>
  </w:num>
  <w:num w:numId="31">
    <w:abstractNumId w:val="20"/>
  </w:num>
  <w:num w:numId="32">
    <w:abstractNumId w:val="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A6C7C"/>
    <w:rsid w:val="00000631"/>
    <w:rsid w:val="00001895"/>
    <w:rsid w:val="00003281"/>
    <w:rsid w:val="00003CF3"/>
    <w:rsid w:val="0000449F"/>
    <w:rsid w:val="00004AC5"/>
    <w:rsid w:val="0000521A"/>
    <w:rsid w:val="00005D6E"/>
    <w:rsid w:val="000067BC"/>
    <w:rsid w:val="00011A91"/>
    <w:rsid w:val="00017B82"/>
    <w:rsid w:val="00023A65"/>
    <w:rsid w:val="00023B90"/>
    <w:rsid w:val="0003088D"/>
    <w:rsid w:val="00033ECE"/>
    <w:rsid w:val="00040038"/>
    <w:rsid w:val="00042EDF"/>
    <w:rsid w:val="000507A8"/>
    <w:rsid w:val="00051841"/>
    <w:rsid w:val="000557AC"/>
    <w:rsid w:val="00057B45"/>
    <w:rsid w:val="0006275F"/>
    <w:rsid w:val="000637FE"/>
    <w:rsid w:val="000657F4"/>
    <w:rsid w:val="00067296"/>
    <w:rsid w:val="000675D4"/>
    <w:rsid w:val="000735F9"/>
    <w:rsid w:val="00075D67"/>
    <w:rsid w:val="00082B07"/>
    <w:rsid w:val="00082D7C"/>
    <w:rsid w:val="00087791"/>
    <w:rsid w:val="00090EB3"/>
    <w:rsid w:val="00093F3D"/>
    <w:rsid w:val="00095FD2"/>
    <w:rsid w:val="000974B6"/>
    <w:rsid w:val="000977C7"/>
    <w:rsid w:val="0009798E"/>
    <w:rsid w:val="000A13B8"/>
    <w:rsid w:val="000A2341"/>
    <w:rsid w:val="000A3A2E"/>
    <w:rsid w:val="000A4362"/>
    <w:rsid w:val="000A4397"/>
    <w:rsid w:val="000A67FA"/>
    <w:rsid w:val="000B0DB7"/>
    <w:rsid w:val="000C19F5"/>
    <w:rsid w:val="000C263D"/>
    <w:rsid w:val="000C38BA"/>
    <w:rsid w:val="000C49BB"/>
    <w:rsid w:val="000C71C6"/>
    <w:rsid w:val="000D53E3"/>
    <w:rsid w:val="000D6C60"/>
    <w:rsid w:val="000E2749"/>
    <w:rsid w:val="000E32AA"/>
    <w:rsid w:val="000F254D"/>
    <w:rsid w:val="000F3E10"/>
    <w:rsid w:val="000F73BE"/>
    <w:rsid w:val="00100AF9"/>
    <w:rsid w:val="00100EDA"/>
    <w:rsid w:val="00101991"/>
    <w:rsid w:val="00101F2E"/>
    <w:rsid w:val="00102D0D"/>
    <w:rsid w:val="00103538"/>
    <w:rsid w:val="0010374C"/>
    <w:rsid w:val="00104CCC"/>
    <w:rsid w:val="00106F55"/>
    <w:rsid w:val="00114E7D"/>
    <w:rsid w:val="00116D19"/>
    <w:rsid w:val="00116ED7"/>
    <w:rsid w:val="00121DC2"/>
    <w:rsid w:val="00125B1E"/>
    <w:rsid w:val="00132014"/>
    <w:rsid w:val="0013411D"/>
    <w:rsid w:val="00134B94"/>
    <w:rsid w:val="001350A5"/>
    <w:rsid w:val="00136A83"/>
    <w:rsid w:val="00141CE8"/>
    <w:rsid w:val="00146A13"/>
    <w:rsid w:val="00147087"/>
    <w:rsid w:val="001471CB"/>
    <w:rsid w:val="001509AA"/>
    <w:rsid w:val="00152A03"/>
    <w:rsid w:val="00153B99"/>
    <w:rsid w:val="0015410A"/>
    <w:rsid w:val="00156378"/>
    <w:rsid w:val="001567F0"/>
    <w:rsid w:val="00157612"/>
    <w:rsid w:val="0016146F"/>
    <w:rsid w:val="001615EF"/>
    <w:rsid w:val="00163B0D"/>
    <w:rsid w:val="00165E8A"/>
    <w:rsid w:val="00170460"/>
    <w:rsid w:val="0017072D"/>
    <w:rsid w:val="00177233"/>
    <w:rsid w:val="0018308D"/>
    <w:rsid w:val="00184E85"/>
    <w:rsid w:val="00186E8B"/>
    <w:rsid w:val="001916FC"/>
    <w:rsid w:val="00192F46"/>
    <w:rsid w:val="00194642"/>
    <w:rsid w:val="00195EB7"/>
    <w:rsid w:val="001B009E"/>
    <w:rsid w:val="001B047D"/>
    <w:rsid w:val="001B078F"/>
    <w:rsid w:val="001B1D0C"/>
    <w:rsid w:val="001B3800"/>
    <w:rsid w:val="001D39A5"/>
    <w:rsid w:val="001D48A3"/>
    <w:rsid w:val="001D5654"/>
    <w:rsid w:val="001D58CA"/>
    <w:rsid w:val="001D5AEF"/>
    <w:rsid w:val="001E0445"/>
    <w:rsid w:val="001E0745"/>
    <w:rsid w:val="001E13D9"/>
    <w:rsid w:val="001E29CD"/>
    <w:rsid w:val="001E6AD9"/>
    <w:rsid w:val="001F5BAC"/>
    <w:rsid w:val="001F621E"/>
    <w:rsid w:val="00202A86"/>
    <w:rsid w:val="00204ACF"/>
    <w:rsid w:val="002054FA"/>
    <w:rsid w:val="002108FA"/>
    <w:rsid w:val="00213134"/>
    <w:rsid w:val="0021386B"/>
    <w:rsid w:val="002142D5"/>
    <w:rsid w:val="0021495F"/>
    <w:rsid w:val="00214B40"/>
    <w:rsid w:val="00221638"/>
    <w:rsid w:val="002235DF"/>
    <w:rsid w:val="002267BD"/>
    <w:rsid w:val="00231FEE"/>
    <w:rsid w:val="0023463C"/>
    <w:rsid w:val="00242F6D"/>
    <w:rsid w:val="00243858"/>
    <w:rsid w:val="00245FEC"/>
    <w:rsid w:val="00246FE9"/>
    <w:rsid w:val="0024733E"/>
    <w:rsid w:val="00250977"/>
    <w:rsid w:val="00252694"/>
    <w:rsid w:val="0025657C"/>
    <w:rsid w:val="0025663C"/>
    <w:rsid w:val="00256ABC"/>
    <w:rsid w:val="0025703B"/>
    <w:rsid w:val="00257D68"/>
    <w:rsid w:val="00260597"/>
    <w:rsid w:val="00260CBF"/>
    <w:rsid w:val="00260EF9"/>
    <w:rsid w:val="002674CB"/>
    <w:rsid w:val="00273404"/>
    <w:rsid w:val="00274CB3"/>
    <w:rsid w:val="00276000"/>
    <w:rsid w:val="0027655D"/>
    <w:rsid w:val="0027680E"/>
    <w:rsid w:val="00276FFE"/>
    <w:rsid w:val="0027737F"/>
    <w:rsid w:val="00282158"/>
    <w:rsid w:val="00283A5C"/>
    <w:rsid w:val="002863EE"/>
    <w:rsid w:val="0028659D"/>
    <w:rsid w:val="002869A4"/>
    <w:rsid w:val="00287CDA"/>
    <w:rsid w:val="00297DA2"/>
    <w:rsid w:val="002A54FD"/>
    <w:rsid w:val="002B4287"/>
    <w:rsid w:val="002B5085"/>
    <w:rsid w:val="002B52D6"/>
    <w:rsid w:val="002B7D74"/>
    <w:rsid w:val="002C74AE"/>
    <w:rsid w:val="002C7CF4"/>
    <w:rsid w:val="002D1177"/>
    <w:rsid w:val="002D2EAB"/>
    <w:rsid w:val="002D3271"/>
    <w:rsid w:val="002D3C7A"/>
    <w:rsid w:val="002D5F54"/>
    <w:rsid w:val="002D6A62"/>
    <w:rsid w:val="002D7039"/>
    <w:rsid w:val="002E1E88"/>
    <w:rsid w:val="002E7C9B"/>
    <w:rsid w:val="002F03E2"/>
    <w:rsid w:val="002F1D13"/>
    <w:rsid w:val="002F1DF5"/>
    <w:rsid w:val="002F7735"/>
    <w:rsid w:val="00302A1B"/>
    <w:rsid w:val="003074DF"/>
    <w:rsid w:val="003076CD"/>
    <w:rsid w:val="00312005"/>
    <w:rsid w:val="00312111"/>
    <w:rsid w:val="00315CF6"/>
    <w:rsid w:val="00315F99"/>
    <w:rsid w:val="00317C91"/>
    <w:rsid w:val="00322A8F"/>
    <w:rsid w:val="00324440"/>
    <w:rsid w:val="00325D82"/>
    <w:rsid w:val="00327723"/>
    <w:rsid w:val="0033016F"/>
    <w:rsid w:val="00330C3A"/>
    <w:rsid w:val="00331CF9"/>
    <w:rsid w:val="003335AD"/>
    <w:rsid w:val="003351ED"/>
    <w:rsid w:val="003356E3"/>
    <w:rsid w:val="00336701"/>
    <w:rsid w:val="00337E2A"/>
    <w:rsid w:val="00342493"/>
    <w:rsid w:val="003437AF"/>
    <w:rsid w:val="00343DB0"/>
    <w:rsid w:val="003447D9"/>
    <w:rsid w:val="003474FC"/>
    <w:rsid w:val="00347C8B"/>
    <w:rsid w:val="0035495F"/>
    <w:rsid w:val="00355942"/>
    <w:rsid w:val="00355AF2"/>
    <w:rsid w:val="003575EC"/>
    <w:rsid w:val="00361BF6"/>
    <w:rsid w:val="003628A1"/>
    <w:rsid w:val="003662BE"/>
    <w:rsid w:val="00372DFC"/>
    <w:rsid w:val="00373871"/>
    <w:rsid w:val="00373976"/>
    <w:rsid w:val="00383479"/>
    <w:rsid w:val="00383B48"/>
    <w:rsid w:val="003853DE"/>
    <w:rsid w:val="003907E7"/>
    <w:rsid w:val="003916E7"/>
    <w:rsid w:val="003927AD"/>
    <w:rsid w:val="00393CB9"/>
    <w:rsid w:val="00397225"/>
    <w:rsid w:val="00397E27"/>
    <w:rsid w:val="003A0B0B"/>
    <w:rsid w:val="003A3BFD"/>
    <w:rsid w:val="003A523F"/>
    <w:rsid w:val="003A59F6"/>
    <w:rsid w:val="003A67FF"/>
    <w:rsid w:val="003B13C0"/>
    <w:rsid w:val="003B1624"/>
    <w:rsid w:val="003B2BB4"/>
    <w:rsid w:val="003B4B1E"/>
    <w:rsid w:val="003B5250"/>
    <w:rsid w:val="003B56A5"/>
    <w:rsid w:val="003C15AF"/>
    <w:rsid w:val="003C7692"/>
    <w:rsid w:val="003C7F27"/>
    <w:rsid w:val="003D2CB4"/>
    <w:rsid w:val="003D4151"/>
    <w:rsid w:val="003D6268"/>
    <w:rsid w:val="003E0003"/>
    <w:rsid w:val="003E2E31"/>
    <w:rsid w:val="003E38E9"/>
    <w:rsid w:val="003E5311"/>
    <w:rsid w:val="003E661C"/>
    <w:rsid w:val="003F6638"/>
    <w:rsid w:val="003F6FD7"/>
    <w:rsid w:val="003F797F"/>
    <w:rsid w:val="00401FE1"/>
    <w:rsid w:val="00403EB4"/>
    <w:rsid w:val="004067A3"/>
    <w:rsid w:val="00406E54"/>
    <w:rsid w:val="00407BCB"/>
    <w:rsid w:val="00410342"/>
    <w:rsid w:val="004145AF"/>
    <w:rsid w:val="004167E7"/>
    <w:rsid w:val="00422A30"/>
    <w:rsid w:val="00423B5E"/>
    <w:rsid w:val="00427637"/>
    <w:rsid w:val="004303BE"/>
    <w:rsid w:val="004338DF"/>
    <w:rsid w:val="00436A64"/>
    <w:rsid w:val="00440AC2"/>
    <w:rsid w:val="0044213B"/>
    <w:rsid w:val="00445455"/>
    <w:rsid w:val="00445A6E"/>
    <w:rsid w:val="00446B34"/>
    <w:rsid w:val="004477DB"/>
    <w:rsid w:val="00453B5B"/>
    <w:rsid w:val="00453E14"/>
    <w:rsid w:val="00455656"/>
    <w:rsid w:val="00457E30"/>
    <w:rsid w:val="00460356"/>
    <w:rsid w:val="00460646"/>
    <w:rsid w:val="00461079"/>
    <w:rsid w:val="00461363"/>
    <w:rsid w:val="00465A93"/>
    <w:rsid w:val="00472E24"/>
    <w:rsid w:val="00473B36"/>
    <w:rsid w:val="004759A5"/>
    <w:rsid w:val="00482742"/>
    <w:rsid w:val="0048352B"/>
    <w:rsid w:val="00491AFD"/>
    <w:rsid w:val="00497CB6"/>
    <w:rsid w:val="004A1738"/>
    <w:rsid w:val="004A1DF1"/>
    <w:rsid w:val="004A4D90"/>
    <w:rsid w:val="004A62F5"/>
    <w:rsid w:val="004B26C1"/>
    <w:rsid w:val="004B691C"/>
    <w:rsid w:val="004C05B2"/>
    <w:rsid w:val="004C2082"/>
    <w:rsid w:val="004C39EE"/>
    <w:rsid w:val="004D2B6B"/>
    <w:rsid w:val="004D2C96"/>
    <w:rsid w:val="004E1551"/>
    <w:rsid w:val="004E1930"/>
    <w:rsid w:val="004F27F5"/>
    <w:rsid w:val="004F48AA"/>
    <w:rsid w:val="004F7108"/>
    <w:rsid w:val="005220DC"/>
    <w:rsid w:val="00522C0C"/>
    <w:rsid w:val="00525840"/>
    <w:rsid w:val="005365BF"/>
    <w:rsid w:val="005407B9"/>
    <w:rsid w:val="00547FDA"/>
    <w:rsid w:val="005526AA"/>
    <w:rsid w:val="005534B9"/>
    <w:rsid w:val="005534BC"/>
    <w:rsid w:val="0055538C"/>
    <w:rsid w:val="00556E61"/>
    <w:rsid w:val="00564495"/>
    <w:rsid w:val="005663CA"/>
    <w:rsid w:val="00566485"/>
    <w:rsid w:val="00567635"/>
    <w:rsid w:val="00567D11"/>
    <w:rsid w:val="00570DB5"/>
    <w:rsid w:val="00571A51"/>
    <w:rsid w:val="00573264"/>
    <w:rsid w:val="00574013"/>
    <w:rsid w:val="0057553C"/>
    <w:rsid w:val="005772F4"/>
    <w:rsid w:val="00577B77"/>
    <w:rsid w:val="00577C5E"/>
    <w:rsid w:val="00580EED"/>
    <w:rsid w:val="00581FD0"/>
    <w:rsid w:val="005839A2"/>
    <w:rsid w:val="0058609B"/>
    <w:rsid w:val="0059037F"/>
    <w:rsid w:val="00590680"/>
    <w:rsid w:val="005918BE"/>
    <w:rsid w:val="005A0A93"/>
    <w:rsid w:val="005A4070"/>
    <w:rsid w:val="005A4B30"/>
    <w:rsid w:val="005B1824"/>
    <w:rsid w:val="005B286D"/>
    <w:rsid w:val="005B2B5B"/>
    <w:rsid w:val="005B412A"/>
    <w:rsid w:val="005B6500"/>
    <w:rsid w:val="005B674F"/>
    <w:rsid w:val="005C26A3"/>
    <w:rsid w:val="005C4AFB"/>
    <w:rsid w:val="005D0163"/>
    <w:rsid w:val="005D4C9B"/>
    <w:rsid w:val="005D542D"/>
    <w:rsid w:val="005E38DC"/>
    <w:rsid w:val="005F443E"/>
    <w:rsid w:val="005F503C"/>
    <w:rsid w:val="00601309"/>
    <w:rsid w:val="00601B39"/>
    <w:rsid w:val="0060290B"/>
    <w:rsid w:val="00624CF6"/>
    <w:rsid w:val="00626EC5"/>
    <w:rsid w:val="006334C4"/>
    <w:rsid w:val="00634346"/>
    <w:rsid w:val="00637BBF"/>
    <w:rsid w:val="00637C7E"/>
    <w:rsid w:val="006415E3"/>
    <w:rsid w:val="0064266F"/>
    <w:rsid w:val="00643F9A"/>
    <w:rsid w:val="00646037"/>
    <w:rsid w:val="006503AF"/>
    <w:rsid w:val="006546D7"/>
    <w:rsid w:val="00656879"/>
    <w:rsid w:val="006605B2"/>
    <w:rsid w:val="00661838"/>
    <w:rsid w:val="00663469"/>
    <w:rsid w:val="006649F5"/>
    <w:rsid w:val="00672F39"/>
    <w:rsid w:val="00673410"/>
    <w:rsid w:val="006740A6"/>
    <w:rsid w:val="0067459C"/>
    <w:rsid w:val="00675EC3"/>
    <w:rsid w:val="00676F1B"/>
    <w:rsid w:val="00677B82"/>
    <w:rsid w:val="0068134C"/>
    <w:rsid w:val="006833DA"/>
    <w:rsid w:val="00683E2E"/>
    <w:rsid w:val="00686414"/>
    <w:rsid w:val="00691FF0"/>
    <w:rsid w:val="00696F11"/>
    <w:rsid w:val="006A0BB1"/>
    <w:rsid w:val="006A0F0F"/>
    <w:rsid w:val="006A1D7C"/>
    <w:rsid w:val="006A32FA"/>
    <w:rsid w:val="006A436D"/>
    <w:rsid w:val="006A6D08"/>
    <w:rsid w:val="006B08DC"/>
    <w:rsid w:val="006B279A"/>
    <w:rsid w:val="006B328A"/>
    <w:rsid w:val="006B6683"/>
    <w:rsid w:val="006C1AE5"/>
    <w:rsid w:val="006C2E49"/>
    <w:rsid w:val="006C646F"/>
    <w:rsid w:val="006D316A"/>
    <w:rsid w:val="006D78C9"/>
    <w:rsid w:val="006E3521"/>
    <w:rsid w:val="006E752F"/>
    <w:rsid w:val="006F2C5A"/>
    <w:rsid w:val="006F3C83"/>
    <w:rsid w:val="006F3CA7"/>
    <w:rsid w:val="006F71B5"/>
    <w:rsid w:val="006F7906"/>
    <w:rsid w:val="006F7BBC"/>
    <w:rsid w:val="00703323"/>
    <w:rsid w:val="00706252"/>
    <w:rsid w:val="00710915"/>
    <w:rsid w:val="007116B8"/>
    <w:rsid w:val="007116C6"/>
    <w:rsid w:val="00714D39"/>
    <w:rsid w:val="00725716"/>
    <w:rsid w:val="00726596"/>
    <w:rsid w:val="00727C2D"/>
    <w:rsid w:val="00732BA9"/>
    <w:rsid w:val="00736E21"/>
    <w:rsid w:val="00737453"/>
    <w:rsid w:val="00740793"/>
    <w:rsid w:val="007413BF"/>
    <w:rsid w:val="00743351"/>
    <w:rsid w:val="00744127"/>
    <w:rsid w:val="0074581A"/>
    <w:rsid w:val="0074615B"/>
    <w:rsid w:val="007508E8"/>
    <w:rsid w:val="00753057"/>
    <w:rsid w:val="00755178"/>
    <w:rsid w:val="00757383"/>
    <w:rsid w:val="00757D90"/>
    <w:rsid w:val="00763BB6"/>
    <w:rsid w:val="00765594"/>
    <w:rsid w:val="00767FFB"/>
    <w:rsid w:val="007707F9"/>
    <w:rsid w:val="00777FF1"/>
    <w:rsid w:val="00780332"/>
    <w:rsid w:val="0078566F"/>
    <w:rsid w:val="00787845"/>
    <w:rsid w:val="007903D1"/>
    <w:rsid w:val="00790B2B"/>
    <w:rsid w:val="00794BF1"/>
    <w:rsid w:val="00796AC9"/>
    <w:rsid w:val="00797278"/>
    <w:rsid w:val="007A037D"/>
    <w:rsid w:val="007A1A77"/>
    <w:rsid w:val="007A21C8"/>
    <w:rsid w:val="007A5B6B"/>
    <w:rsid w:val="007A7580"/>
    <w:rsid w:val="007A7D19"/>
    <w:rsid w:val="007B1875"/>
    <w:rsid w:val="007B42F5"/>
    <w:rsid w:val="007B4380"/>
    <w:rsid w:val="007B4AE3"/>
    <w:rsid w:val="007B5E37"/>
    <w:rsid w:val="007B6206"/>
    <w:rsid w:val="007B6BEA"/>
    <w:rsid w:val="007C012D"/>
    <w:rsid w:val="007C0D3B"/>
    <w:rsid w:val="007C3D00"/>
    <w:rsid w:val="007C4AC4"/>
    <w:rsid w:val="007D50CE"/>
    <w:rsid w:val="007D6573"/>
    <w:rsid w:val="007E265D"/>
    <w:rsid w:val="007E280A"/>
    <w:rsid w:val="007E559C"/>
    <w:rsid w:val="007E6F23"/>
    <w:rsid w:val="007F0C62"/>
    <w:rsid w:val="007F5EFA"/>
    <w:rsid w:val="00802021"/>
    <w:rsid w:val="0080629B"/>
    <w:rsid w:val="0080696C"/>
    <w:rsid w:val="00806ED9"/>
    <w:rsid w:val="00811EF5"/>
    <w:rsid w:val="0081236C"/>
    <w:rsid w:val="00812890"/>
    <w:rsid w:val="0082086B"/>
    <w:rsid w:val="008221D3"/>
    <w:rsid w:val="008223BF"/>
    <w:rsid w:val="00826A3C"/>
    <w:rsid w:val="00826DC5"/>
    <w:rsid w:val="00832196"/>
    <w:rsid w:val="008321A0"/>
    <w:rsid w:val="0083255E"/>
    <w:rsid w:val="00834802"/>
    <w:rsid w:val="00836307"/>
    <w:rsid w:val="008379D5"/>
    <w:rsid w:val="00843FD9"/>
    <w:rsid w:val="0084580A"/>
    <w:rsid w:val="00845D58"/>
    <w:rsid w:val="00846A72"/>
    <w:rsid w:val="0085117D"/>
    <w:rsid w:val="0085404F"/>
    <w:rsid w:val="0086084B"/>
    <w:rsid w:val="00860C8E"/>
    <w:rsid w:val="008612C5"/>
    <w:rsid w:val="00861FC1"/>
    <w:rsid w:val="00863A85"/>
    <w:rsid w:val="00866A95"/>
    <w:rsid w:val="00876CC8"/>
    <w:rsid w:val="00876E9D"/>
    <w:rsid w:val="00881017"/>
    <w:rsid w:val="008812B5"/>
    <w:rsid w:val="0088144C"/>
    <w:rsid w:val="0088691F"/>
    <w:rsid w:val="0089610C"/>
    <w:rsid w:val="008B3342"/>
    <w:rsid w:val="008B59D3"/>
    <w:rsid w:val="008B6020"/>
    <w:rsid w:val="008C5EDD"/>
    <w:rsid w:val="008D245E"/>
    <w:rsid w:val="008D280D"/>
    <w:rsid w:val="008D5230"/>
    <w:rsid w:val="008D6D3D"/>
    <w:rsid w:val="008E0786"/>
    <w:rsid w:val="008E0DCE"/>
    <w:rsid w:val="008E28A7"/>
    <w:rsid w:val="008F3096"/>
    <w:rsid w:val="008F7B39"/>
    <w:rsid w:val="00904189"/>
    <w:rsid w:val="009041DF"/>
    <w:rsid w:val="00910056"/>
    <w:rsid w:val="009113C2"/>
    <w:rsid w:val="00914047"/>
    <w:rsid w:val="0091445D"/>
    <w:rsid w:val="009168D3"/>
    <w:rsid w:val="009179EA"/>
    <w:rsid w:val="009209DD"/>
    <w:rsid w:val="0092355C"/>
    <w:rsid w:val="0092500D"/>
    <w:rsid w:val="00926F10"/>
    <w:rsid w:val="00927208"/>
    <w:rsid w:val="00930DE4"/>
    <w:rsid w:val="00931C36"/>
    <w:rsid w:val="0093574D"/>
    <w:rsid w:val="00935804"/>
    <w:rsid w:val="00941008"/>
    <w:rsid w:val="00942623"/>
    <w:rsid w:val="00943C88"/>
    <w:rsid w:val="0094451A"/>
    <w:rsid w:val="00944572"/>
    <w:rsid w:val="00944873"/>
    <w:rsid w:val="0094544F"/>
    <w:rsid w:val="009457F5"/>
    <w:rsid w:val="009510B2"/>
    <w:rsid w:val="00952BDE"/>
    <w:rsid w:val="00954DAF"/>
    <w:rsid w:val="009552BC"/>
    <w:rsid w:val="009555BE"/>
    <w:rsid w:val="00956F04"/>
    <w:rsid w:val="0096364D"/>
    <w:rsid w:val="009644BE"/>
    <w:rsid w:val="009646D7"/>
    <w:rsid w:val="00965513"/>
    <w:rsid w:val="009714FD"/>
    <w:rsid w:val="00971DFA"/>
    <w:rsid w:val="0097200D"/>
    <w:rsid w:val="0097292E"/>
    <w:rsid w:val="009752D7"/>
    <w:rsid w:val="0097538E"/>
    <w:rsid w:val="00985673"/>
    <w:rsid w:val="009868B6"/>
    <w:rsid w:val="00990E03"/>
    <w:rsid w:val="00993F6E"/>
    <w:rsid w:val="009A3249"/>
    <w:rsid w:val="009A324E"/>
    <w:rsid w:val="009A3842"/>
    <w:rsid w:val="009A4D8A"/>
    <w:rsid w:val="009A6A2F"/>
    <w:rsid w:val="009C03DB"/>
    <w:rsid w:val="009C0C1C"/>
    <w:rsid w:val="009C2BB4"/>
    <w:rsid w:val="009C3358"/>
    <w:rsid w:val="009C608B"/>
    <w:rsid w:val="009D15E6"/>
    <w:rsid w:val="009D3281"/>
    <w:rsid w:val="009D549C"/>
    <w:rsid w:val="009D7FFE"/>
    <w:rsid w:val="009E1762"/>
    <w:rsid w:val="009E315B"/>
    <w:rsid w:val="009E4FF5"/>
    <w:rsid w:val="009E62EF"/>
    <w:rsid w:val="009F4C6C"/>
    <w:rsid w:val="009F4F7A"/>
    <w:rsid w:val="009F587C"/>
    <w:rsid w:val="00A02895"/>
    <w:rsid w:val="00A02A0B"/>
    <w:rsid w:val="00A0441B"/>
    <w:rsid w:val="00A04B5A"/>
    <w:rsid w:val="00A065F3"/>
    <w:rsid w:val="00A065F7"/>
    <w:rsid w:val="00A067E5"/>
    <w:rsid w:val="00A14ACA"/>
    <w:rsid w:val="00A15A46"/>
    <w:rsid w:val="00A17C31"/>
    <w:rsid w:val="00A208D4"/>
    <w:rsid w:val="00A21D6F"/>
    <w:rsid w:val="00A2442F"/>
    <w:rsid w:val="00A25C68"/>
    <w:rsid w:val="00A27427"/>
    <w:rsid w:val="00A354F0"/>
    <w:rsid w:val="00A35829"/>
    <w:rsid w:val="00A3658B"/>
    <w:rsid w:val="00A416F8"/>
    <w:rsid w:val="00A42342"/>
    <w:rsid w:val="00A4642A"/>
    <w:rsid w:val="00A46AA1"/>
    <w:rsid w:val="00A54B60"/>
    <w:rsid w:val="00A57262"/>
    <w:rsid w:val="00A62FE6"/>
    <w:rsid w:val="00A70C93"/>
    <w:rsid w:val="00A7354E"/>
    <w:rsid w:val="00A739BE"/>
    <w:rsid w:val="00A7591B"/>
    <w:rsid w:val="00A76A9A"/>
    <w:rsid w:val="00A95A76"/>
    <w:rsid w:val="00AA0281"/>
    <w:rsid w:val="00AA11FD"/>
    <w:rsid w:val="00AA2237"/>
    <w:rsid w:val="00AA22A5"/>
    <w:rsid w:val="00AA2AC2"/>
    <w:rsid w:val="00AA5240"/>
    <w:rsid w:val="00AB51FA"/>
    <w:rsid w:val="00AB6787"/>
    <w:rsid w:val="00AC05ED"/>
    <w:rsid w:val="00AC096F"/>
    <w:rsid w:val="00AC223F"/>
    <w:rsid w:val="00AC2576"/>
    <w:rsid w:val="00AC30F2"/>
    <w:rsid w:val="00AC4ADC"/>
    <w:rsid w:val="00AC5730"/>
    <w:rsid w:val="00AC5C6C"/>
    <w:rsid w:val="00AC773A"/>
    <w:rsid w:val="00AD2A99"/>
    <w:rsid w:val="00AD53C3"/>
    <w:rsid w:val="00AD55C0"/>
    <w:rsid w:val="00AD5997"/>
    <w:rsid w:val="00AD6327"/>
    <w:rsid w:val="00AD7E39"/>
    <w:rsid w:val="00AE0634"/>
    <w:rsid w:val="00AE1635"/>
    <w:rsid w:val="00AE16C9"/>
    <w:rsid w:val="00AE1FF2"/>
    <w:rsid w:val="00AE359A"/>
    <w:rsid w:val="00AE41D2"/>
    <w:rsid w:val="00AE50F5"/>
    <w:rsid w:val="00AE7AE1"/>
    <w:rsid w:val="00AF63CD"/>
    <w:rsid w:val="00B03D4C"/>
    <w:rsid w:val="00B10181"/>
    <w:rsid w:val="00B122DD"/>
    <w:rsid w:val="00B152FA"/>
    <w:rsid w:val="00B15AFC"/>
    <w:rsid w:val="00B2271A"/>
    <w:rsid w:val="00B2642C"/>
    <w:rsid w:val="00B27235"/>
    <w:rsid w:val="00B3118D"/>
    <w:rsid w:val="00B3579A"/>
    <w:rsid w:val="00B361D3"/>
    <w:rsid w:val="00B37EE9"/>
    <w:rsid w:val="00B43693"/>
    <w:rsid w:val="00B45983"/>
    <w:rsid w:val="00B470EF"/>
    <w:rsid w:val="00B4766A"/>
    <w:rsid w:val="00B53761"/>
    <w:rsid w:val="00B53CF3"/>
    <w:rsid w:val="00B54792"/>
    <w:rsid w:val="00B60088"/>
    <w:rsid w:val="00B60B83"/>
    <w:rsid w:val="00B62D4F"/>
    <w:rsid w:val="00B65865"/>
    <w:rsid w:val="00B71693"/>
    <w:rsid w:val="00B71B1C"/>
    <w:rsid w:val="00B77635"/>
    <w:rsid w:val="00B8504C"/>
    <w:rsid w:val="00B856CA"/>
    <w:rsid w:val="00B86D46"/>
    <w:rsid w:val="00B92BE1"/>
    <w:rsid w:val="00B932B7"/>
    <w:rsid w:val="00B96C8B"/>
    <w:rsid w:val="00BA29BB"/>
    <w:rsid w:val="00BA3264"/>
    <w:rsid w:val="00BB2DF3"/>
    <w:rsid w:val="00BC0099"/>
    <w:rsid w:val="00BC08E6"/>
    <w:rsid w:val="00BC17AD"/>
    <w:rsid w:val="00BC39F1"/>
    <w:rsid w:val="00BC5130"/>
    <w:rsid w:val="00BC5EA0"/>
    <w:rsid w:val="00BC6B0E"/>
    <w:rsid w:val="00BD0381"/>
    <w:rsid w:val="00BF744C"/>
    <w:rsid w:val="00C12078"/>
    <w:rsid w:val="00C168FB"/>
    <w:rsid w:val="00C177AB"/>
    <w:rsid w:val="00C17EC7"/>
    <w:rsid w:val="00C26AED"/>
    <w:rsid w:val="00C3074F"/>
    <w:rsid w:val="00C348D5"/>
    <w:rsid w:val="00C35177"/>
    <w:rsid w:val="00C4164B"/>
    <w:rsid w:val="00C42EDC"/>
    <w:rsid w:val="00C44002"/>
    <w:rsid w:val="00C5116B"/>
    <w:rsid w:val="00C52C62"/>
    <w:rsid w:val="00C569B2"/>
    <w:rsid w:val="00C60BF7"/>
    <w:rsid w:val="00C65DBA"/>
    <w:rsid w:val="00C66544"/>
    <w:rsid w:val="00C66BF3"/>
    <w:rsid w:val="00C70F34"/>
    <w:rsid w:val="00C73F9F"/>
    <w:rsid w:val="00C80539"/>
    <w:rsid w:val="00C80E9C"/>
    <w:rsid w:val="00C932C5"/>
    <w:rsid w:val="00C94606"/>
    <w:rsid w:val="00C969A9"/>
    <w:rsid w:val="00CA0640"/>
    <w:rsid w:val="00CA5345"/>
    <w:rsid w:val="00CA6501"/>
    <w:rsid w:val="00CA74E5"/>
    <w:rsid w:val="00CB3E5C"/>
    <w:rsid w:val="00CB4BC1"/>
    <w:rsid w:val="00CC118D"/>
    <w:rsid w:val="00CC1552"/>
    <w:rsid w:val="00CC2D06"/>
    <w:rsid w:val="00CC2EF3"/>
    <w:rsid w:val="00CC390B"/>
    <w:rsid w:val="00CC3DC2"/>
    <w:rsid w:val="00CC4086"/>
    <w:rsid w:val="00CC4B2C"/>
    <w:rsid w:val="00CC59D6"/>
    <w:rsid w:val="00CC5DD2"/>
    <w:rsid w:val="00CC5EF9"/>
    <w:rsid w:val="00CD2F4B"/>
    <w:rsid w:val="00CD379F"/>
    <w:rsid w:val="00CD416E"/>
    <w:rsid w:val="00CD5859"/>
    <w:rsid w:val="00CE154F"/>
    <w:rsid w:val="00CE2DED"/>
    <w:rsid w:val="00CE78B2"/>
    <w:rsid w:val="00CF17BF"/>
    <w:rsid w:val="00CF4F15"/>
    <w:rsid w:val="00CF5041"/>
    <w:rsid w:val="00CF738F"/>
    <w:rsid w:val="00D03405"/>
    <w:rsid w:val="00D05922"/>
    <w:rsid w:val="00D06492"/>
    <w:rsid w:val="00D067DA"/>
    <w:rsid w:val="00D14812"/>
    <w:rsid w:val="00D17634"/>
    <w:rsid w:val="00D23AC1"/>
    <w:rsid w:val="00D26B59"/>
    <w:rsid w:val="00D275E6"/>
    <w:rsid w:val="00D34AE3"/>
    <w:rsid w:val="00D3714A"/>
    <w:rsid w:val="00D3784C"/>
    <w:rsid w:val="00D404E7"/>
    <w:rsid w:val="00D40C41"/>
    <w:rsid w:val="00D42341"/>
    <w:rsid w:val="00D431F3"/>
    <w:rsid w:val="00D4446E"/>
    <w:rsid w:val="00D506E2"/>
    <w:rsid w:val="00D56FD2"/>
    <w:rsid w:val="00D6605F"/>
    <w:rsid w:val="00D70F25"/>
    <w:rsid w:val="00D7181A"/>
    <w:rsid w:val="00D739CC"/>
    <w:rsid w:val="00D777E5"/>
    <w:rsid w:val="00D779D5"/>
    <w:rsid w:val="00D80B98"/>
    <w:rsid w:val="00D80E9A"/>
    <w:rsid w:val="00D82254"/>
    <w:rsid w:val="00D831C6"/>
    <w:rsid w:val="00D8757C"/>
    <w:rsid w:val="00D91AE4"/>
    <w:rsid w:val="00DA573F"/>
    <w:rsid w:val="00DB36EF"/>
    <w:rsid w:val="00DB778F"/>
    <w:rsid w:val="00DB7F60"/>
    <w:rsid w:val="00DC6227"/>
    <w:rsid w:val="00DD27C4"/>
    <w:rsid w:val="00DE4D6C"/>
    <w:rsid w:val="00DE5C82"/>
    <w:rsid w:val="00DE7074"/>
    <w:rsid w:val="00DE718E"/>
    <w:rsid w:val="00DF02A7"/>
    <w:rsid w:val="00DF116B"/>
    <w:rsid w:val="00DF455D"/>
    <w:rsid w:val="00E0192A"/>
    <w:rsid w:val="00E04B6B"/>
    <w:rsid w:val="00E059B7"/>
    <w:rsid w:val="00E079D7"/>
    <w:rsid w:val="00E17808"/>
    <w:rsid w:val="00E20CA0"/>
    <w:rsid w:val="00E23C0A"/>
    <w:rsid w:val="00E24B9D"/>
    <w:rsid w:val="00E26496"/>
    <w:rsid w:val="00E27999"/>
    <w:rsid w:val="00E31865"/>
    <w:rsid w:val="00E335E3"/>
    <w:rsid w:val="00E34488"/>
    <w:rsid w:val="00E4089A"/>
    <w:rsid w:val="00E42B75"/>
    <w:rsid w:val="00E42D34"/>
    <w:rsid w:val="00E4799E"/>
    <w:rsid w:val="00E51E24"/>
    <w:rsid w:val="00E520A7"/>
    <w:rsid w:val="00E61617"/>
    <w:rsid w:val="00E62E60"/>
    <w:rsid w:val="00E64736"/>
    <w:rsid w:val="00E65D08"/>
    <w:rsid w:val="00E75400"/>
    <w:rsid w:val="00E809A3"/>
    <w:rsid w:val="00E8318D"/>
    <w:rsid w:val="00E83919"/>
    <w:rsid w:val="00E8713A"/>
    <w:rsid w:val="00E916CF"/>
    <w:rsid w:val="00E92A31"/>
    <w:rsid w:val="00E94D7A"/>
    <w:rsid w:val="00E95D8E"/>
    <w:rsid w:val="00E96EB8"/>
    <w:rsid w:val="00EA0467"/>
    <w:rsid w:val="00EA0609"/>
    <w:rsid w:val="00EA349D"/>
    <w:rsid w:val="00EA4DA5"/>
    <w:rsid w:val="00EA6C7C"/>
    <w:rsid w:val="00EB3BD5"/>
    <w:rsid w:val="00EB7438"/>
    <w:rsid w:val="00EC1F52"/>
    <w:rsid w:val="00EC3A2D"/>
    <w:rsid w:val="00EC4862"/>
    <w:rsid w:val="00EC56E1"/>
    <w:rsid w:val="00EC7BAC"/>
    <w:rsid w:val="00ED191A"/>
    <w:rsid w:val="00ED1D55"/>
    <w:rsid w:val="00EE65EC"/>
    <w:rsid w:val="00EF0F07"/>
    <w:rsid w:val="00EF2B9D"/>
    <w:rsid w:val="00EF7595"/>
    <w:rsid w:val="00F011C6"/>
    <w:rsid w:val="00F067C1"/>
    <w:rsid w:val="00F10543"/>
    <w:rsid w:val="00F12C8B"/>
    <w:rsid w:val="00F15DF2"/>
    <w:rsid w:val="00F20D5B"/>
    <w:rsid w:val="00F223EA"/>
    <w:rsid w:val="00F235BD"/>
    <w:rsid w:val="00F315F2"/>
    <w:rsid w:val="00F33CD5"/>
    <w:rsid w:val="00F36595"/>
    <w:rsid w:val="00F37FD3"/>
    <w:rsid w:val="00F43482"/>
    <w:rsid w:val="00F47AC0"/>
    <w:rsid w:val="00F51255"/>
    <w:rsid w:val="00F51D3F"/>
    <w:rsid w:val="00F5428A"/>
    <w:rsid w:val="00F65592"/>
    <w:rsid w:val="00F72244"/>
    <w:rsid w:val="00F72408"/>
    <w:rsid w:val="00F74766"/>
    <w:rsid w:val="00F747E1"/>
    <w:rsid w:val="00F83DB3"/>
    <w:rsid w:val="00F87B91"/>
    <w:rsid w:val="00F90C25"/>
    <w:rsid w:val="00F90E34"/>
    <w:rsid w:val="00F91380"/>
    <w:rsid w:val="00F92636"/>
    <w:rsid w:val="00F93AB7"/>
    <w:rsid w:val="00F9413A"/>
    <w:rsid w:val="00F96B0B"/>
    <w:rsid w:val="00FA24DB"/>
    <w:rsid w:val="00FA6D64"/>
    <w:rsid w:val="00FB3733"/>
    <w:rsid w:val="00FB3AEC"/>
    <w:rsid w:val="00FB4D99"/>
    <w:rsid w:val="00FB780D"/>
    <w:rsid w:val="00FD1C91"/>
    <w:rsid w:val="00FD2236"/>
    <w:rsid w:val="00FD2A46"/>
    <w:rsid w:val="00FE0190"/>
    <w:rsid w:val="00FE315B"/>
    <w:rsid w:val="00FE3A8C"/>
    <w:rsid w:val="00FE4F92"/>
    <w:rsid w:val="00FE62A7"/>
    <w:rsid w:val="00FF0AD1"/>
    <w:rsid w:val="00FF4223"/>
    <w:rsid w:val="00FF5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4A940"/>
  <w15:docId w15:val="{744A159A-2144-42BB-8C7B-59116131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C7C"/>
    <w:pPr>
      <w:widowControl w:val="0"/>
      <w:spacing w:before="100" w:after="100" w:line="240" w:lineRule="auto"/>
    </w:pPr>
    <w:rPr>
      <w:rFonts w:ascii="Times New Roman" w:eastAsia="Times New Roman" w:hAnsi="Times New Roman" w:cs="Times New Roman"/>
      <w:snapToGrid w:val="0"/>
      <w:sz w:val="24"/>
      <w:szCs w:val="20"/>
      <w:lang w:val="en-US"/>
    </w:rPr>
  </w:style>
  <w:style w:type="paragraph" w:styleId="Balk2">
    <w:name w:val="heading 2"/>
    <w:basedOn w:val="Normal"/>
    <w:next w:val="Normal"/>
    <w:link w:val="Balk2Char"/>
    <w:uiPriority w:val="9"/>
    <w:semiHidden/>
    <w:unhideWhenUsed/>
    <w:qFormat/>
    <w:rsid w:val="00DF45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next w:val="Normal"/>
    <w:link w:val="Balk4Char"/>
    <w:autoRedefine/>
    <w:qFormat/>
    <w:rsid w:val="00AA2AC2"/>
    <w:pPr>
      <w:widowControl/>
      <w:spacing w:before="0" w:after="120" w:line="240" w:lineRule="atLeast"/>
      <w:ind w:left="414" w:right="-48"/>
      <w:jc w:val="both"/>
      <w:outlineLvl w:val="3"/>
    </w:pPr>
    <w:rPr>
      <w:sz w:val="22"/>
      <w:szCs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uiPriority w:val="20"/>
    <w:qFormat/>
    <w:rsid w:val="00EA6C7C"/>
    <w:rPr>
      <w:i/>
    </w:rPr>
  </w:style>
  <w:style w:type="character" w:styleId="Gl">
    <w:name w:val="Strong"/>
    <w:qFormat/>
    <w:rsid w:val="00EA6C7C"/>
    <w:rPr>
      <w:b/>
    </w:rPr>
  </w:style>
  <w:style w:type="paragraph" w:customStyle="1" w:styleId="Blockquote">
    <w:name w:val="Blockquote"/>
    <w:basedOn w:val="Normal"/>
    <w:rsid w:val="00EA6C7C"/>
    <w:pPr>
      <w:ind w:left="360" w:right="360"/>
    </w:pPr>
  </w:style>
  <w:style w:type="paragraph" w:styleId="ListeParagraf">
    <w:name w:val="List Paragraph"/>
    <w:basedOn w:val="Normal"/>
    <w:uiPriority w:val="34"/>
    <w:qFormat/>
    <w:rsid w:val="00EA6C7C"/>
    <w:pPr>
      <w:ind w:left="720"/>
      <w:contextualSpacing/>
    </w:pPr>
  </w:style>
  <w:style w:type="character" w:styleId="Kpr">
    <w:name w:val="Hyperlink"/>
    <w:rsid w:val="00CA6501"/>
    <w:rPr>
      <w:color w:val="0000FF"/>
      <w:u w:val="single"/>
    </w:rPr>
  </w:style>
  <w:style w:type="paragraph" w:styleId="DipnotMetni">
    <w:name w:val="footnote text"/>
    <w:aliases w:val="Fußnote,Fußnotentextf,Note de bas de page Car Car Car Car Car Car Car Car Car Car,Note de bas de page Car Car Car Car,Note de bas de page Car Car Car Car Car Car Car Car Car,ft,f"/>
    <w:basedOn w:val="Normal"/>
    <w:link w:val="DipnotMetniChar"/>
    <w:uiPriority w:val="99"/>
    <w:unhideWhenUsed/>
    <w:rsid w:val="000A4362"/>
    <w:pPr>
      <w:spacing w:before="0" w:after="0"/>
    </w:pPr>
    <w:rPr>
      <w:sz w:val="20"/>
    </w:rPr>
  </w:style>
  <w:style w:type="character" w:customStyle="1" w:styleId="DipnotMetniChar">
    <w:name w:val="Dipnot Metni Char"/>
    <w:aliases w:val="Fußnote Char,Fußnotentextf Char,Note de bas de page Car Car Car Car Car Car Car Car Car Car Char,Note de bas de page Car Car Car Car Char,Note de bas de page Car Car Car Car Car Car Car Car Car Char,ft Char,f Char"/>
    <w:basedOn w:val="VarsaylanParagrafYazTipi"/>
    <w:link w:val="DipnotMetni"/>
    <w:uiPriority w:val="99"/>
    <w:rsid w:val="000A4362"/>
    <w:rPr>
      <w:rFonts w:ascii="Times New Roman" w:eastAsia="Times New Roman" w:hAnsi="Times New Roman" w:cs="Times New Roman"/>
      <w:snapToGrid w:val="0"/>
      <w:sz w:val="20"/>
      <w:szCs w:val="20"/>
      <w:lang w:val="en-US"/>
    </w:rPr>
  </w:style>
  <w:style w:type="character" w:styleId="DipnotBavurusu">
    <w:name w:val="footnote reference"/>
    <w:aliases w:val="BVI fnr,(Footnote Reference),SUPERS,Footnote Reference/,Footnote symbol,Footnotes refss,Footnote Reference Superscript,Footnote,Footnote reference number,note TESI,EN Footnote Reference,Voetnootverwijzing,Times 10 Point,No,Re"/>
    <w:qFormat/>
    <w:rsid w:val="000A4362"/>
    <w:rPr>
      <w:vertAlign w:val="superscript"/>
    </w:rPr>
  </w:style>
  <w:style w:type="paragraph" w:customStyle="1" w:styleId="PRAGHeading2">
    <w:name w:val="PRAG Heading 2"/>
    <w:basedOn w:val="Normal"/>
    <w:rsid w:val="00AA22A5"/>
    <w:pPr>
      <w:numPr>
        <w:numId w:val="7"/>
      </w:numPr>
    </w:pPr>
    <w:rPr>
      <w:lang w:val="fr-FR"/>
    </w:rPr>
  </w:style>
  <w:style w:type="paragraph" w:customStyle="1" w:styleId="Default">
    <w:name w:val="Default"/>
    <w:rsid w:val="00AA22A5"/>
    <w:pPr>
      <w:autoSpaceDE w:val="0"/>
      <w:autoSpaceDN w:val="0"/>
      <w:adjustRightInd w:val="0"/>
      <w:spacing w:after="0" w:line="240" w:lineRule="auto"/>
    </w:pPr>
    <w:rPr>
      <w:rFonts w:ascii="Minion Pro" w:eastAsia="Times New Roman" w:hAnsi="Minion Pro" w:cs="Minion Pro"/>
      <w:color w:val="000000"/>
      <w:sz w:val="24"/>
      <w:szCs w:val="24"/>
      <w:lang w:eastAsia="en-GB"/>
    </w:rPr>
  </w:style>
  <w:style w:type="paragraph" w:styleId="stBilgi">
    <w:name w:val="header"/>
    <w:basedOn w:val="Normal"/>
    <w:link w:val="stBilgiChar"/>
    <w:uiPriority w:val="99"/>
    <w:unhideWhenUsed/>
    <w:rsid w:val="00B2271A"/>
    <w:pPr>
      <w:tabs>
        <w:tab w:val="center" w:pos="4536"/>
        <w:tab w:val="right" w:pos="9072"/>
      </w:tabs>
      <w:spacing w:before="0" w:after="0"/>
    </w:pPr>
  </w:style>
  <w:style w:type="character" w:customStyle="1" w:styleId="stBilgiChar">
    <w:name w:val="Üst Bilgi Char"/>
    <w:basedOn w:val="VarsaylanParagrafYazTipi"/>
    <w:link w:val="stBilgi"/>
    <w:uiPriority w:val="99"/>
    <w:rsid w:val="00B2271A"/>
    <w:rPr>
      <w:rFonts w:ascii="Times New Roman" w:eastAsia="Times New Roman" w:hAnsi="Times New Roman" w:cs="Times New Roman"/>
      <w:snapToGrid w:val="0"/>
      <w:sz w:val="24"/>
      <w:szCs w:val="20"/>
      <w:lang w:val="en-US"/>
    </w:rPr>
  </w:style>
  <w:style w:type="paragraph" w:styleId="AltBilgi">
    <w:name w:val="footer"/>
    <w:basedOn w:val="Normal"/>
    <w:link w:val="AltBilgiChar"/>
    <w:uiPriority w:val="99"/>
    <w:unhideWhenUsed/>
    <w:rsid w:val="00B2271A"/>
    <w:pPr>
      <w:tabs>
        <w:tab w:val="center" w:pos="4536"/>
        <w:tab w:val="right" w:pos="9072"/>
      </w:tabs>
      <w:spacing w:before="0" w:after="0"/>
    </w:pPr>
  </w:style>
  <w:style w:type="character" w:customStyle="1" w:styleId="AltBilgiChar">
    <w:name w:val="Alt Bilgi Char"/>
    <w:basedOn w:val="VarsaylanParagrafYazTipi"/>
    <w:link w:val="AltBilgi"/>
    <w:uiPriority w:val="99"/>
    <w:rsid w:val="00B2271A"/>
    <w:rPr>
      <w:rFonts w:ascii="Times New Roman" w:eastAsia="Times New Roman" w:hAnsi="Times New Roman" w:cs="Times New Roman"/>
      <w:snapToGrid w:val="0"/>
      <w:sz w:val="24"/>
      <w:szCs w:val="20"/>
      <w:lang w:val="en-US"/>
    </w:rPr>
  </w:style>
  <w:style w:type="paragraph" w:styleId="BalonMetni">
    <w:name w:val="Balloon Text"/>
    <w:basedOn w:val="Normal"/>
    <w:link w:val="BalonMetniChar"/>
    <w:uiPriority w:val="99"/>
    <w:semiHidden/>
    <w:unhideWhenUsed/>
    <w:rsid w:val="009A3842"/>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A3842"/>
    <w:rPr>
      <w:rFonts w:ascii="Tahoma" w:eastAsia="Times New Roman" w:hAnsi="Tahoma" w:cs="Tahoma"/>
      <w:snapToGrid w:val="0"/>
      <w:sz w:val="16"/>
      <w:szCs w:val="16"/>
      <w:lang w:val="en-US"/>
    </w:rPr>
  </w:style>
  <w:style w:type="character" w:styleId="AklamaBavurusu">
    <w:name w:val="annotation reference"/>
    <w:basedOn w:val="VarsaylanParagrafYazTipi"/>
    <w:uiPriority w:val="99"/>
    <w:unhideWhenUsed/>
    <w:rsid w:val="00CC5DD2"/>
    <w:rPr>
      <w:sz w:val="16"/>
      <w:szCs w:val="16"/>
    </w:rPr>
  </w:style>
  <w:style w:type="paragraph" w:styleId="AklamaMetni">
    <w:name w:val="annotation text"/>
    <w:basedOn w:val="Normal"/>
    <w:link w:val="AklamaMetniChar"/>
    <w:uiPriority w:val="99"/>
    <w:unhideWhenUsed/>
    <w:rsid w:val="00CC5DD2"/>
    <w:rPr>
      <w:sz w:val="20"/>
    </w:rPr>
  </w:style>
  <w:style w:type="character" w:customStyle="1" w:styleId="AklamaMetniChar">
    <w:name w:val="Açıklama Metni Char"/>
    <w:basedOn w:val="VarsaylanParagrafYazTipi"/>
    <w:link w:val="AklamaMetni"/>
    <w:uiPriority w:val="99"/>
    <w:rsid w:val="00CC5DD2"/>
    <w:rPr>
      <w:rFonts w:ascii="Times New Roman" w:eastAsia="Times New Roman" w:hAnsi="Times New Roman" w:cs="Times New Roman"/>
      <w:snapToGrid w:val="0"/>
      <w:sz w:val="20"/>
      <w:szCs w:val="20"/>
      <w:lang w:val="en-US"/>
    </w:rPr>
  </w:style>
  <w:style w:type="paragraph" w:styleId="AklamaKonusu">
    <w:name w:val="annotation subject"/>
    <w:basedOn w:val="AklamaMetni"/>
    <w:next w:val="AklamaMetni"/>
    <w:link w:val="AklamaKonusuChar"/>
    <w:uiPriority w:val="99"/>
    <w:semiHidden/>
    <w:unhideWhenUsed/>
    <w:rsid w:val="00CC5DD2"/>
    <w:rPr>
      <w:b/>
      <w:bCs/>
    </w:rPr>
  </w:style>
  <w:style w:type="character" w:customStyle="1" w:styleId="AklamaKonusuChar">
    <w:name w:val="Açıklama Konusu Char"/>
    <w:basedOn w:val="AklamaMetniChar"/>
    <w:link w:val="AklamaKonusu"/>
    <w:uiPriority w:val="99"/>
    <w:semiHidden/>
    <w:rsid w:val="00CC5DD2"/>
    <w:rPr>
      <w:rFonts w:ascii="Times New Roman" w:eastAsia="Times New Roman" w:hAnsi="Times New Roman" w:cs="Times New Roman"/>
      <w:b/>
      <w:bCs/>
      <w:snapToGrid w:val="0"/>
      <w:sz w:val="20"/>
      <w:szCs w:val="20"/>
      <w:lang w:val="en-US"/>
    </w:rPr>
  </w:style>
  <w:style w:type="character" w:customStyle="1" w:styleId="Balk4Char">
    <w:name w:val="Başlık 4 Char"/>
    <w:basedOn w:val="VarsaylanParagrafYazTipi"/>
    <w:link w:val="Balk4"/>
    <w:rsid w:val="00AA2AC2"/>
    <w:rPr>
      <w:rFonts w:ascii="Times New Roman" w:eastAsia="Times New Roman" w:hAnsi="Times New Roman" w:cs="Times New Roman"/>
      <w:snapToGrid w:val="0"/>
    </w:rPr>
  </w:style>
  <w:style w:type="character" w:customStyle="1" w:styleId="Definition">
    <w:name w:val="Definition"/>
    <w:rsid w:val="00E8713A"/>
    <w:rPr>
      <w:i/>
    </w:rPr>
  </w:style>
  <w:style w:type="paragraph" w:customStyle="1" w:styleId="H6">
    <w:name w:val="H6"/>
    <w:basedOn w:val="Normal"/>
    <w:next w:val="Normal"/>
    <w:rsid w:val="000557AC"/>
    <w:pPr>
      <w:keepNext/>
      <w:outlineLvl w:val="6"/>
    </w:pPr>
    <w:rPr>
      <w:b/>
      <w:sz w:val="16"/>
    </w:rPr>
  </w:style>
  <w:style w:type="character" w:styleId="zlenenKpr">
    <w:name w:val="FollowedHyperlink"/>
    <w:basedOn w:val="VarsaylanParagrafYazTipi"/>
    <w:uiPriority w:val="99"/>
    <w:semiHidden/>
    <w:unhideWhenUsed/>
    <w:rsid w:val="00757D90"/>
    <w:rPr>
      <w:color w:val="800080" w:themeColor="followedHyperlink"/>
      <w:u w:val="single"/>
    </w:rPr>
  </w:style>
  <w:style w:type="paragraph" w:customStyle="1" w:styleId="DefinitionTerm">
    <w:name w:val="Definition Term"/>
    <w:basedOn w:val="Normal"/>
    <w:next w:val="Normal"/>
    <w:rsid w:val="00337E2A"/>
    <w:pPr>
      <w:spacing w:before="0" w:after="0"/>
    </w:pPr>
  </w:style>
  <w:style w:type="paragraph" w:styleId="Dzeltme">
    <w:name w:val="Revision"/>
    <w:hidden/>
    <w:uiPriority w:val="99"/>
    <w:semiHidden/>
    <w:rsid w:val="00401FE1"/>
    <w:pPr>
      <w:spacing w:after="0" w:line="240" w:lineRule="auto"/>
    </w:pPr>
    <w:rPr>
      <w:rFonts w:ascii="Times New Roman" w:eastAsia="Times New Roman" w:hAnsi="Times New Roman" w:cs="Times New Roman"/>
      <w:snapToGrid w:val="0"/>
      <w:sz w:val="24"/>
      <w:szCs w:val="20"/>
      <w:lang w:val="en-US"/>
    </w:rPr>
  </w:style>
  <w:style w:type="paragraph" w:styleId="Altyaz">
    <w:name w:val="Subtitle"/>
    <w:basedOn w:val="Normal"/>
    <w:link w:val="AltyazChar"/>
    <w:qFormat/>
    <w:rsid w:val="004759A5"/>
    <w:pPr>
      <w:widowControl/>
      <w:spacing w:before="120" w:after="120"/>
      <w:jc w:val="center"/>
    </w:pPr>
    <w:rPr>
      <w:rFonts w:ascii="Arial" w:hAnsi="Arial"/>
      <w:b/>
      <w:sz w:val="28"/>
      <w:lang w:val="fr-BE"/>
    </w:rPr>
  </w:style>
  <w:style w:type="character" w:customStyle="1" w:styleId="AltyazChar">
    <w:name w:val="Altyazı Char"/>
    <w:basedOn w:val="VarsaylanParagrafYazTipi"/>
    <w:link w:val="Altyaz"/>
    <w:rsid w:val="004759A5"/>
    <w:rPr>
      <w:rFonts w:ascii="Arial" w:eastAsia="Times New Roman" w:hAnsi="Arial" w:cs="Times New Roman"/>
      <w:b/>
      <w:snapToGrid w:val="0"/>
      <w:sz w:val="28"/>
      <w:szCs w:val="20"/>
      <w:lang w:val="fr-BE"/>
    </w:rPr>
  </w:style>
  <w:style w:type="paragraph" w:styleId="GvdeMetni">
    <w:name w:val="Body Text"/>
    <w:basedOn w:val="Normal"/>
    <w:link w:val="GvdeMetniChar"/>
    <w:rsid w:val="006A0BB1"/>
    <w:pPr>
      <w:widowControl/>
      <w:spacing w:before="0" w:after="0"/>
    </w:pPr>
    <w:rPr>
      <w:snapToGrid/>
      <w:lang w:val="en-GB" w:eastAsia="en-GB"/>
    </w:rPr>
  </w:style>
  <w:style w:type="character" w:customStyle="1" w:styleId="GvdeMetniChar">
    <w:name w:val="Gövde Metni Char"/>
    <w:basedOn w:val="VarsaylanParagrafYazTipi"/>
    <w:link w:val="GvdeMetni"/>
    <w:rsid w:val="006A0BB1"/>
    <w:rPr>
      <w:rFonts w:ascii="Times New Roman" w:eastAsia="Times New Roman" w:hAnsi="Times New Roman" w:cs="Times New Roman"/>
      <w:sz w:val="24"/>
      <w:szCs w:val="20"/>
      <w:lang w:eastAsia="en-GB"/>
    </w:rPr>
  </w:style>
  <w:style w:type="paragraph" w:customStyle="1" w:styleId="Numbered">
    <w:name w:val="Numbered"/>
    <w:basedOn w:val="Normal"/>
    <w:link w:val="NumberedChar"/>
    <w:qFormat/>
    <w:rsid w:val="00CE78B2"/>
    <w:pPr>
      <w:widowControl/>
      <w:numPr>
        <w:numId w:val="19"/>
      </w:numPr>
      <w:spacing w:before="0" w:after="0"/>
      <w:jc w:val="both"/>
    </w:pPr>
    <w:rPr>
      <w:snapToGrid/>
      <w:szCs w:val="24"/>
      <w:lang w:val="en-GB" w:eastAsia="en-GB"/>
    </w:rPr>
  </w:style>
  <w:style w:type="character" w:customStyle="1" w:styleId="NumberedChar">
    <w:name w:val="Numbered Char"/>
    <w:link w:val="Numbered"/>
    <w:rsid w:val="00CE78B2"/>
    <w:rPr>
      <w:rFonts w:ascii="Times New Roman" w:eastAsia="Times New Roman" w:hAnsi="Times New Roman" w:cs="Times New Roman"/>
      <w:sz w:val="24"/>
      <w:szCs w:val="24"/>
      <w:lang w:eastAsia="en-GB"/>
    </w:rPr>
  </w:style>
  <w:style w:type="character" w:customStyle="1" w:styleId="normaltextrun">
    <w:name w:val="normaltextrun"/>
    <w:basedOn w:val="VarsaylanParagrafYazTipi"/>
    <w:rsid w:val="007E559C"/>
  </w:style>
  <w:style w:type="character" w:customStyle="1" w:styleId="eop">
    <w:name w:val="eop"/>
    <w:basedOn w:val="VarsaylanParagrafYazTipi"/>
    <w:rsid w:val="00BA29BB"/>
  </w:style>
  <w:style w:type="paragraph" w:customStyle="1" w:styleId="paragraph">
    <w:name w:val="paragraph"/>
    <w:basedOn w:val="Normal"/>
    <w:rsid w:val="00F72244"/>
    <w:pPr>
      <w:widowControl/>
      <w:spacing w:beforeAutospacing="1" w:afterAutospacing="1"/>
    </w:pPr>
    <w:rPr>
      <w:snapToGrid/>
      <w:szCs w:val="24"/>
      <w:lang w:val="fr-BE" w:eastAsia="fr-BE"/>
    </w:rPr>
  </w:style>
  <w:style w:type="character" w:customStyle="1" w:styleId="highlight">
    <w:name w:val="highlight"/>
    <w:basedOn w:val="VarsaylanParagrafYazTipi"/>
    <w:rsid w:val="00FE3A8C"/>
    <w:rPr>
      <w:rFonts w:cs="Times New Roman"/>
    </w:rPr>
  </w:style>
  <w:style w:type="paragraph" w:styleId="SonnotMetni">
    <w:name w:val="endnote text"/>
    <w:basedOn w:val="Normal"/>
    <w:link w:val="SonnotMetniChar"/>
    <w:uiPriority w:val="99"/>
    <w:semiHidden/>
    <w:unhideWhenUsed/>
    <w:rsid w:val="00D831C6"/>
    <w:pPr>
      <w:spacing w:before="0" w:after="0"/>
    </w:pPr>
    <w:rPr>
      <w:sz w:val="20"/>
    </w:rPr>
  </w:style>
  <w:style w:type="character" w:customStyle="1" w:styleId="SonnotMetniChar">
    <w:name w:val="Sonnot Metni Char"/>
    <w:basedOn w:val="VarsaylanParagrafYazTipi"/>
    <w:link w:val="SonnotMetni"/>
    <w:uiPriority w:val="99"/>
    <w:semiHidden/>
    <w:rsid w:val="00D831C6"/>
    <w:rPr>
      <w:rFonts w:ascii="Times New Roman" w:eastAsia="Times New Roman" w:hAnsi="Times New Roman" w:cs="Times New Roman"/>
      <w:snapToGrid w:val="0"/>
      <w:sz w:val="20"/>
      <w:szCs w:val="20"/>
      <w:lang w:val="en-US"/>
    </w:rPr>
  </w:style>
  <w:style w:type="character" w:styleId="SonnotBavurusu">
    <w:name w:val="endnote reference"/>
    <w:basedOn w:val="VarsaylanParagrafYazTipi"/>
    <w:uiPriority w:val="99"/>
    <w:semiHidden/>
    <w:unhideWhenUsed/>
    <w:rsid w:val="00D831C6"/>
    <w:rPr>
      <w:vertAlign w:val="superscript"/>
    </w:rPr>
  </w:style>
  <w:style w:type="character" w:customStyle="1" w:styleId="UnresolvedMention">
    <w:name w:val="Unresolved Mention"/>
    <w:basedOn w:val="VarsaylanParagrafYazTipi"/>
    <w:uiPriority w:val="99"/>
    <w:semiHidden/>
    <w:unhideWhenUsed/>
    <w:rsid w:val="00B3579A"/>
    <w:rPr>
      <w:color w:val="605E5C"/>
      <w:shd w:val="clear" w:color="auto" w:fill="E1DFDD"/>
    </w:rPr>
  </w:style>
  <w:style w:type="character" w:customStyle="1" w:styleId="cf01">
    <w:name w:val="cf01"/>
    <w:basedOn w:val="VarsaylanParagrafYazTipi"/>
    <w:rsid w:val="005772F4"/>
    <w:rPr>
      <w:rFonts w:ascii="Segoe UI" w:hAnsi="Segoe UI" w:cs="Segoe UI" w:hint="default"/>
      <w:sz w:val="18"/>
      <w:szCs w:val="18"/>
    </w:rPr>
  </w:style>
  <w:style w:type="character" w:customStyle="1" w:styleId="Balk2Char">
    <w:name w:val="Başlık 2 Char"/>
    <w:basedOn w:val="VarsaylanParagrafYazTipi"/>
    <w:link w:val="Balk2"/>
    <w:uiPriority w:val="9"/>
    <w:semiHidden/>
    <w:rsid w:val="00DF455D"/>
    <w:rPr>
      <w:rFonts w:asciiTheme="majorHAnsi" w:eastAsiaTheme="majorEastAsia" w:hAnsiTheme="majorHAnsi" w:cstheme="majorBidi"/>
      <w:snapToGrid w:val="0"/>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2060">
      <w:bodyDiv w:val="1"/>
      <w:marLeft w:val="0"/>
      <w:marRight w:val="0"/>
      <w:marTop w:val="0"/>
      <w:marBottom w:val="0"/>
      <w:divBdr>
        <w:top w:val="none" w:sz="0" w:space="0" w:color="auto"/>
        <w:left w:val="none" w:sz="0" w:space="0" w:color="auto"/>
        <w:bottom w:val="none" w:sz="0" w:space="0" w:color="auto"/>
        <w:right w:val="none" w:sz="0" w:space="0" w:color="auto"/>
      </w:divBdr>
    </w:div>
    <w:div w:id="347876713">
      <w:bodyDiv w:val="1"/>
      <w:marLeft w:val="0"/>
      <w:marRight w:val="0"/>
      <w:marTop w:val="0"/>
      <w:marBottom w:val="0"/>
      <w:divBdr>
        <w:top w:val="none" w:sz="0" w:space="0" w:color="auto"/>
        <w:left w:val="none" w:sz="0" w:space="0" w:color="auto"/>
        <w:bottom w:val="none" w:sz="0" w:space="0" w:color="auto"/>
        <w:right w:val="none" w:sz="0" w:space="0" w:color="auto"/>
      </w:divBdr>
    </w:div>
    <w:div w:id="433327283">
      <w:bodyDiv w:val="1"/>
      <w:marLeft w:val="0"/>
      <w:marRight w:val="0"/>
      <w:marTop w:val="0"/>
      <w:marBottom w:val="0"/>
      <w:divBdr>
        <w:top w:val="none" w:sz="0" w:space="0" w:color="auto"/>
        <w:left w:val="none" w:sz="0" w:space="0" w:color="auto"/>
        <w:bottom w:val="none" w:sz="0" w:space="0" w:color="auto"/>
        <w:right w:val="none" w:sz="0" w:space="0" w:color="auto"/>
      </w:divBdr>
    </w:div>
    <w:div w:id="451093684">
      <w:bodyDiv w:val="1"/>
      <w:marLeft w:val="0"/>
      <w:marRight w:val="0"/>
      <w:marTop w:val="0"/>
      <w:marBottom w:val="0"/>
      <w:divBdr>
        <w:top w:val="none" w:sz="0" w:space="0" w:color="auto"/>
        <w:left w:val="none" w:sz="0" w:space="0" w:color="auto"/>
        <w:bottom w:val="none" w:sz="0" w:space="0" w:color="auto"/>
        <w:right w:val="none" w:sz="0" w:space="0" w:color="auto"/>
      </w:divBdr>
    </w:div>
    <w:div w:id="476647371">
      <w:bodyDiv w:val="1"/>
      <w:marLeft w:val="0"/>
      <w:marRight w:val="0"/>
      <w:marTop w:val="0"/>
      <w:marBottom w:val="0"/>
      <w:divBdr>
        <w:top w:val="none" w:sz="0" w:space="0" w:color="auto"/>
        <w:left w:val="none" w:sz="0" w:space="0" w:color="auto"/>
        <w:bottom w:val="none" w:sz="0" w:space="0" w:color="auto"/>
        <w:right w:val="none" w:sz="0" w:space="0" w:color="auto"/>
      </w:divBdr>
    </w:div>
    <w:div w:id="707412152">
      <w:bodyDiv w:val="1"/>
      <w:marLeft w:val="0"/>
      <w:marRight w:val="0"/>
      <w:marTop w:val="0"/>
      <w:marBottom w:val="0"/>
      <w:divBdr>
        <w:top w:val="none" w:sz="0" w:space="0" w:color="auto"/>
        <w:left w:val="none" w:sz="0" w:space="0" w:color="auto"/>
        <w:bottom w:val="none" w:sz="0" w:space="0" w:color="auto"/>
        <w:right w:val="none" w:sz="0" w:space="0" w:color="auto"/>
      </w:divBdr>
    </w:div>
    <w:div w:id="1152598714">
      <w:bodyDiv w:val="1"/>
      <w:marLeft w:val="0"/>
      <w:marRight w:val="0"/>
      <w:marTop w:val="0"/>
      <w:marBottom w:val="0"/>
      <w:divBdr>
        <w:top w:val="none" w:sz="0" w:space="0" w:color="auto"/>
        <w:left w:val="none" w:sz="0" w:space="0" w:color="auto"/>
        <w:bottom w:val="none" w:sz="0" w:space="0" w:color="auto"/>
        <w:right w:val="none" w:sz="0" w:space="0" w:color="auto"/>
      </w:divBdr>
      <w:divsChild>
        <w:div w:id="193425239">
          <w:marLeft w:val="0"/>
          <w:marRight w:val="0"/>
          <w:marTop w:val="0"/>
          <w:marBottom w:val="0"/>
          <w:divBdr>
            <w:top w:val="none" w:sz="0" w:space="0" w:color="auto"/>
            <w:left w:val="none" w:sz="0" w:space="0" w:color="auto"/>
            <w:bottom w:val="none" w:sz="0" w:space="0" w:color="auto"/>
            <w:right w:val="none" w:sz="0" w:space="0" w:color="auto"/>
          </w:divBdr>
        </w:div>
        <w:div w:id="276330069">
          <w:marLeft w:val="0"/>
          <w:marRight w:val="0"/>
          <w:marTop w:val="0"/>
          <w:marBottom w:val="0"/>
          <w:divBdr>
            <w:top w:val="none" w:sz="0" w:space="0" w:color="auto"/>
            <w:left w:val="none" w:sz="0" w:space="0" w:color="auto"/>
            <w:bottom w:val="none" w:sz="0" w:space="0" w:color="auto"/>
            <w:right w:val="none" w:sz="0" w:space="0" w:color="auto"/>
          </w:divBdr>
        </w:div>
      </w:divsChild>
    </w:div>
    <w:div w:id="1193761944">
      <w:bodyDiv w:val="1"/>
      <w:marLeft w:val="0"/>
      <w:marRight w:val="0"/>
      <w:marTop w:val="0"/>
      <w:marBottom w:val="0"/>
      <w:divBdr>
        <w:top w:val="none" w:sz="0" w:space="0" w:color="auto"/>
        <w:left w:val="none" w:sz="0" w:space="0" w:color="auto"/>
        <w:bottom w:val="none" w:sz="0" w:space="0" w:color="auto"/>
        <w:right w:val="none" w:sz="0" w:space="0" w:color="auto"/>
      </w:divBdr>
    </w:div>
    <w:div w:id="1505776060">
      <w:bodyDiv w:val="1"/>
      <w:marLeft w:val="0"/>
      <w:marRight w:val="0"/>
      <w:marTop w:val="0"/>
      <w:marBottom w:val="0"/>
      <w:divBdr>
        <w:top w:val="none" w:sz="0" w:space="0" w:color="auto"/>
        <w:left w:val="none" w:sz="0" w:space="0" w:color="auto"/>
        <w:bottom w:val="none" w:sz="0" w:space="0" w:color="auto"/>
        <w:right w:val="none" w:sz="0" w:space="0" w:color="auto"/>
      </w:divBdr>
    </w:div>
    <w:div w:id="1563826165">
      <w:bodyDiv w:val="1"/>
      <w:marLeft w:val="0"/>
      <w:marRight w:val="0"/>
      <w:marTop w:val="0"/>
      <w:marBottom w:val="0"/>
      <w:divBdr>
        <w:top w:val="none" w:sz="0" w:space="0" w:color="auto"/>
        <w:left w:val="none" w:sz="0" w:space="0" w:color="auto"/>
        <w:bottom w:val="none" w:sz="0" w:space="0" w:color="auto"/>
        <w:right w:val="none" w:sz="0" w:space="0" w:color="auto"/>
      </w:divBdr>
    </w:div>
    <w:div w:id="1571382399">
      <w:bodyDiv w:val="1"/>
      <w:marLeft w:val="0"/>
      <w:marRight w:val="0"/>
      <w:marTop w:val="0"/>
      <w:marBottom w:val="0"/>
      <w:divBdr>
        <w:top w:val="none" w:sz="0" w:space="0" w:color="auto"/>
        <w:left w:val="none" w:sz="0" w:space="0" w:color="auto"/>
        <w:bottom w:val="none" w:sz="0" w:space="0" w:color="auto"/>
        <w:right w:val="none" w:sz="0" w:space="0" w:color="auto"/>
      </w:divBdr>
    </w:div>
    <w:div w:id="1891265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40D65-AE1A-414B-99C7-C8131E1B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2920</Words>
  <Characters>16649</Characters>
  <Application>Microsoft Office Word</Application>
  <DocSecurity>0</DocSecurity>
  <Lines>138</Lines>
  <Paragraphs>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Paul (DEVCO)</dc:creator>
  <cp:keywords/>
  <dc:description/>
  <cp:lastModifiedBy>Berrin Ceylan</cp:lastModifiedBy>
  <cp:revision>2</cp:revision>
  <cp:lastPrinted>2024-06-06T14:59:00Z</cp:lastPrinted>
  <dcterms:created xsi:type="dcterms:W3CDTF">2025-11-25T11:33:00Z</dcterms:created>
  <dcterms:modified xsi:type="dcterms:W3CDTF">2025-11-25T11:33:00Z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2023-04-03T12:18:44Z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b0fb3603-4aa0-431f-962e-5858b8f3b08a</vt:lpwstr>
  </property>
  <property fmtid="{D5CDD505-2E9C-101B-9397-08002B2CF9AE}" pid="8" name="MSIP_Label_6bd9ddd1-4d20-43f6-abfa-fc3c07406f94_ContentBits">
    <vt:lpwstr>0</vt:lpwstr>
  </property>
</Properties>
</file>