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4C81" w14:textId="53DB0B21" w:rsidR="00AF5D6B" w:rsidRPr="009F502C" w:rsidRDefault="000B57D1" w:rsidP="00CB365D">
      <w:pPr>
        <w:tabs>
          <w:tab w:val="left" w:pos="9923"/>
        </w:tabs>
        <w:spacing w:line="360" w:lineRule="auto"/>
        <w:ind w:right="567"/>
        <w:jc w:val="both"/>
        <w:rPr>
          <w:b/>
          <w:color w:val="000000" w:themeColor="text1"/>
        </w:rPr>
      </w:pPr>
      <w:r w:rsidRPr="009F502C">
        <w:rPr>
          <w:b/>
          <w:color w:val="000000" w:themeColor="text1"/>
        </w:rPr>
        <w:t xml:space="preserve">Kuruluş </w:t>
      </w:r>
      <w:r w:rsidR="004B36DF" w:rsidRPr="009F502C">
        <w:rPr>
          <w:b/>
          <w:color w:val="000000" w:themeColor="text1"/>
        </w:rPr>
        <w:t xml:space="preserve">                                                                                                           Tarih</w:t>
      </w:r>
    </w:p>
    <w:p w14:paraId="693B08ED" w14:textId="77777777" w:rsidR="00AF5D6B" w:rsidRDefault="00AF5D6B" w:rsidP="00424ADE">
      <w:pPr>
        <w:pStyle w:val="ListeParagraf"/>
        <w:tabs>
          <w:tab w:val="left" w:pos="9923"/>
        </w:tabs>
        <w:spacing w:after="0" w:line="36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8F3C8" w14:textId="77777777" w:rsidR="00AF5D6B" w:rsidRDefault="00AF5D6B" w:rsidP="00424ADE">
      <w:pPr>
        <w:pStyle w:val="ListeParagraf"/>
        <w:tabs>
          <w:tab w:val="left" w:pos="9923"/>
        </w:tabs>
        <w:spacing w:after="0" w:line="36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ED2D2" w14:textId="77777777" w:rsidR="00AF5D6B" w:rsidRDefault="00AF5D6B" w:rsidP="00424ADE">
      <w:pPr>
        <w:pStyle w:val="ListeParagraf"/>
        <w:tabs>
          <w:tab w:val="left" w:pos="9923"/>
        </w:tabs>
        <w:spacing w:after="0" w:line="36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1C606" w14:textId="6BC578D4" w:rsidR="00073AFF" w:rsidRPr="00073AFF" w:rsidRDefault="00073AFF" w:rsidP="008003CD">
      <w:pPr>
        <w:tabs>
          <w:tab w:val="left" w:pos="6233"/>
        </w:tabs>
        <w:jc w:val="center"/>
        <w:rPr>
          <w:rFonts w:ascii="Arial Black" w:hAnsi="Arial Black"/>
          <w:sz w:val="28"/>
          <w:szCs w:val="28"/>
        </w:rPr>
      </w:pPr>
      <w:r w:rsidRPr="00073AFF">
        <w:rPr>
          <w:rFonts w:ascii="Arial Black" w:hAnsi="Arial Black"/>
          <w:sz w:val="28"/>
          <w:szCs w:val="28"/>
        </w:rPr>
        <w:t>Niyet ve Taahhüt Beyannamesi</w:t>
      </w:r>
    </w:p>
    <w:p w14:paraId="7A5B60FC" w14:textId="77777777" w:rsidR="002543B7" w:rsidRPr="00A326B7" w:rsidRDefault="002543B7" w:rsidP="002543B7">
      <w:pPr>
        <w:tabs>
          <w:tab w:val="left" w:pos="6233"/>
        </w:tabs>
        <w:rPr>
          <w:rFonts w:ascii="Arial Black" w:hAnsi="Arial Black"/>
          <w:sz w:val="28"/>
          <w:szCs w:val="28"/>
        </w:rPr>
      </w:pPr>
    </w:p>
    <w:p w14:paraId="1EA489E7" w14:textId="77777777" w:rsidR="002543B7" w:rsidRDefault="002543B7" w:rsidP="002543B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A2F113A" w14:textId="1B693F7A" w:rsidR="002543B7" w:rsidRDefault="00347F09" w:rsidP="008003CD">
      <w:pPr>
        <w:spacing w:line="360" w:lineRule="auto"/>
        <w:ind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………………………………</w:t>
      </w:r>
      <w:r w:rsidR="005D57B9">
        <w:rPr>
          <w:rFonts w:asciiTheme="minorHAnsi" w:hAnsiTheme="minorHAnsi"/>
          <w:szCs w:val="22"/>
        </w:rPr>
        <w:t>…………………………………….</w:t>
      </w:r>
      <w:r>
        <w:rPr>
          <w:rFonts w:asciiTheme="minorHAnsi" w:hAnsiTheme="minorHAnsi"/>
          <w:szCs w:val="22"/>
        </w:rPr>
        <w:t xml:space="preserve">…. </w:t>
      </w:r>
      <w:r w:rsidR="002543B7" w:rsidRPr="000B57D1">
        <w:rPr>
          <w:rFonts w:asciiTheme="minorHAnsi" w:hAnsiTheme="minorHAnsi"/>
          <w:color w:val="FF0000"/>
          <w:szCs w:val="22"/>
        </w:rPr>
        <w:t>Derneği Genel Merkezi</w:t>
      </w:r>
      <w:r w:rsidRPr="000B57D1">
        <w:rPr>
          <w:rFonts w:asciiTheme="minorHAnsi" w:hAnsiTheme="minorHAnsi"/>
          <w:color w:val="FF0000"/>
          <w:szCs w:val="22"/>
        </w:rPr>
        <w:t>/Kuruluşu</w:t>
      </w:r>
      <w:r w:rsidR="002543B7" w:rsidRPr="000B57D1">
        <w:rPr>
          <w:rFonts w:asciiTheme="minorHAnsi" w:hAnsiTheme="minorHAnsi"/>
          <w:color w:val="FF0000"/>
          <w:szCs w:val="22"/>
        </w:rPr>
        <w:t xml:space="preserve"> </w:t>
      </w:r>
      <w:r w:rsidR="002543B7">
        <w:rPr>
          <w:rFonts w:asciiTheme="minorHAnsi" w:hAnsiTheme="minorHAnsi"/>
          <w:szCs w:val="22"/>
        </w:rPr>
        <w:t>olarak</w:t>
      </w:r>
      <w:r w:rsidR="005D57B9">
        <w:rPr>
          <w:rFonts w:asciiTheme="minorHAnsi" w:hAnsiTheme="minorHAnsi"/>
          <w:szCs w:val="22"/>
        </w:rPr>
        <w:t xml:space="preserve"> sahada görevlendirilen üye ve gönüllülerimizin </w:t>
      </w:r>
      <w:r>
        <w:rPr>
          <w:rFonts w:asciiTheme="minorHAnsi" w:hAnsiTheme="minorHAnsi"/>
          <w:szCs w:val="22"/>
        </w:rPr>
        <w:t>afet ve acil durumlarda p</w:t>
      </w:r>
      <w:r w:rsidR="002543B7">
        <w:rPr>
          <w:rFonts w:asciiTheme="minorHAnsi" w:hAnsiTheme="minorHAnsi"/>
          <w:szCs w:val="22"/>
        </w:rPr>
        <w:t>sikos</w:t>
      </w:r>
      <w:r w:rsidR="00B40CD1">
        <w:rPr>
          <w:rFonts w:asciiTheme="minorHAnsi" w:hAnsiTheme="minorHAnsi"/>
          <w:szCs w:val="22"/>
        </w:rPr>
        <w:t>os</w:t>
      </w:r>
      <w:r>
        <w:rPr>
          <w:rFonts w:asciiTheme="minorHAnsi" w:hAnsiTheme="minorHAnsi"/>
          <w:szCs w:val="22"/>
        </w:rPr>
        <w:t>yal d</w:t>
      </w:r>
      <w:r w:rsidR="002543B7">
        <w:rPr>
          <w:rFonts w:asciiTheme="minorHAnsi" w:hAnsiTheme="minorHAnsi"/>
          <w:szCs w:val="22"/>
        </w:rPr>
        <w:t xml:space="preserve">estek </w:t>
      </w:r>
      <w:r>
        <w:rPr>
          <w:rFonts w:asciiTheme="minorHAnsi" w:hAnsiTheme="minorHAnsi"/>
          <w:szCs w:val="22"/>
        </w:rPr>
        <w:t xml:space="preserve">çalışma grubunun </w:t>
      </w:r>
      <w:r w:rsidR="008003CD">
        <w:rPr>
          <w:rFonts w:asciiTheme="minorHAnsi" w:hAnsiTheme="minorHAnsi"/>
          <w:szCs w:val="22"/>
        </w:rPr>
        <w:t xml:space="preserve">koordinasyonundan ve yürütülmesinden sorumlu </w:t>
      </w:r>
      <w:r>
        <w:rPr>
          <w:rFonts w:asciiTheme="minorHAnsi" w:hAnsiTheme="minorHAnsi"/>
          <w:szCs w:val="22"/>
        </w:rPr>
        <w:t xml:space="preserve">ana çözüm ortağı Aile ve </w:t>
      </w:r>
      <w:r w:rsidR="005D57B9">
        <w:rPr>
          <w:rFonts w:asciiTheme="minorHAnsi" w:hAnsiTheme="minorHAnsi"/>
          <w:szCs w:val="22"/>
        </w:rPr>
        <w:t>Sosyal Hizmetler Bakanlığı/Aile ve Sosyal Hizmetler İ</w:t>
      </w:r>
      <w:r>
        <w:rPr>
          <w:rFonts w:asciiTheme="minorHAnsi" w:hAnsiTheme="minorHAnsi"/>
          <w:szCs w:val="22"/>
        </w:rPr>
        <w:t>l Müdürlüklerinin talep ettiği dönemde, belirlediği çal</w:t>
      </w:r>
      <w:r w:rsidR="008003CD">
        <w:rPr>
          <w:rFonts w:asciiTheme="minorHAnsi" w:hAnsiTheme="minorHAnsi"/>
          <w:szCs w:val="22"/>
        </w:rPr>
        <w:t xml:space="preserve">ışma alanlarında ve alt </w:t>
      </w:r>
      <w:r w:rsidR="009F1331">
        <w:rPr>
          <w:rFonts w:asciiTheme="minorHAnsi" w:hAnsiTheme="minorHAnsi"/>
          <w:szCs w:val="22"/>
        </w:rPr>
        <w:t>ekiplerde görev alacağımızı;</w:t>
      </w:r>
      <w:r w:rsidR="005D57B9">
        <w:rPr>
          <w:rFonts w:asciiTheme="minorHAnsi" w:hAnsiTheme="minorHAnsi"/>
          <w:szCs w:val="22"/>
        </w:rPr>
        <w:t xml:space="preserve"> </w:t>
      </w:r>
      <w:r w:rsidR="00434533">
        <w:rPr>
          <w:rFonts w:asciiTheme="minorHAnsi" w:hAnsiTheme="minorHAnsi"/>
          <w:szCs w:val="22"/>
        </w:rPr>
        <w:t>sahada yürüteceğimiz çalışmaları ekte belirtilen sahaya ilişkin yükümlülüklere uygun bir şekilde,</w:t>
      </w:r>
      <w:r w:rsidR="008003CD">
        <w:rPr>
          <w:rFonts w:asciiTheme="minorHAnsi" w:hAnsiTheme="minorHAnsi"/>
          <w:szCs w:val="22"/>
        </w:rPr>
        <w:t xml:space="preserve"> </w:t>
      </w:r>
      <w:r w:rsidR="008003CD">
        <w:rPr>
          <w:rFonts w:asciiTheme="minorHAnsi" w:hAnsiTheme="minorHAnsi"/>
          <w:b/>
          <w:color w:val="FF0000"/>
          <w:szCs w:val="22"/>
        </w:rPr>
        <w:t xml:space="preserve">psikososyal </w:t>
      </w:r>
      <w:r w:rsidR="008003CD" w:rsidRPr="008003CD">
        <w:rPr>
          <w:rFonts w:asciiTheme="minorHAnsi" w:hAnsiTheme="minorHAnsi"/>
          <w:b/>
          <w:color w:val="FF0000"/>
          <w:szCs w:val="22"/>
        </w:rPr>
        <w:t>müdahale/sosyal iyileştirme</w:t>
      </w:r>
      <w:r w:rsidR="00635647">
        <w:rPr>
          <w:rFonts w:asciiTheme="minorHAnsi" w:hAnsiTheme="minorHAnsi"/>
          <w:szCs w:val="22"/>
        </w:rPr>
        <w:t xml:space="preserve"> </w:t>
      </w:r>
      <w:r w:rsidR="009F1331">
        <w:rPr>
          <w:rFonts w:asciiTheme="minorHAnsi" w:hAnsiTheme="minorHAnsi"/>
          <w:szCs w:val="22"/>
        </w:rPr>
        <w:t xml:space="preserve">alanı içerisinde yürüteceğimizi </w:t>
      </w:r>
      <w:r w:rsidR="008003CD">
        <w:rPr>
          <w:rFonts w:asciiTheme="minorHAnsi" w:hAnsiTheme="minorHAnsi"/>
          <w:szCs w:val="22"/>
        </w:rPr>
        <w:t xml:space="preserve">beyan ederiz. </w:t>
      </w:r>
    </w:p>
    <w:p w14:paraId="4E952E00" w14:textId="77777777" w:rsidR="008003CD" w:rsidRDefault="008003CD" w:rsidP="008003CD">
      <w:pPr>
        <w:spacing w:line="360" w:lineRule="auto"/>
        <w:ind w:firstLine="708"/>
        <w:rPr>
          <w:rFonts w:asciiTheme="minorHAnsi" w:hAnsiTheme="minorHAnsi"/>
          <w:szCs w:val="22"/>
        </w:rPr>
      </w:pPr>
    </w:p>
    <w:p w14:paraId="57D032AC" w14:textId="77777777" w:rsidR="000B57D1" w:rsidRDefault="000B57D1" w:rsidP="000B57D1">
      <w:pPr>
        <w:spacing w:line="360" w:lineRule="auto"/>
        <w:ind w:firstLine="708"/>
        <w:rPr>
          <w:rFonts w:asciiTheme="minorHAnsi" w:hAnsiTheme="minorHAnsi"/>
          <w:szCs w:val="22"/>
        </w:rPr>
      </w:pPr>
    </w:p>
    <w:p w14:paraId="2C536085" w14:textId="77777777" w:rsidR="000B57D1" w:rsidRDefault="000B57D1" w:rsidP="000B57D1">
      <w:pPr>
        <w:spacing w:line="360" w:lineRule="auto"/>
        <w:ind w:firstLine="708"/>
        <w:rPr>
          <w:rFonts w:asciiTheme="minorHAnsi" w:hAnsiTheme="minorHAnsi"/>
          <w:szCs w:val="22"/>
        </w:rPr>
      </w:pPr>
    </w:p>
    <w:p w14:paraId="0E0CD91D" w14:textId="4769E281" w:rsidR="000B57D1" w:rsidRPr="000B57D1" w:rsidRDefault="005D57B9" w:rsidP="005D57B9">
      <w:pPr>
        <w:spacing w:line="360" w:lineRule="auto"/>
        <w:ind w:firstLine="708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İ</w:t>
      </w:r>
      <w:r w:rsidR="000B57D1" w:rsidRPr="000B57D1">
        <w:rPr>
          <w:rFonts w:asciiTheme="minorHAnsi" w:hAnsiTheme="minorHAnsi"/>
          <w:szCs w:val="22"/>
        </w:rPr>
        <w:t>mza…………………</w:t>
      </w:r>
    </w:p>
    <w:p w14:paraId="4C12960F" w14:textId="77777777" w:rsidR="008003CD" w:rsidRPr="00A326B7" w:rsidRDefault="008003CD" w:rsidP="005D57B9">
      <w:pPr>
        <w:spacing w:line="360" w:lineRule="auto"/>
        <w:ind w:firstLine="708"/>
        <w:jc w:val="center"/>
        <w:rPr>
          <w:rFonts w:asciiTheme="minorHAnsi" w:hAnsiTheme="minorHAnsi"/>
          <w:szCs w:val="22"/>
        </w:rPr>
      </w:pPr>
    </w:p>
    <w:p w14:paraId="0742405A" w14:textId="4759499D" w:rsidR="008003CD" w:rsidRDefault="000B57D1" w:rsidP="005D57B9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8003CD">
        <w:rPr>
          <w:rFonts w:ascii="Times New Roman" w:hAnsi="Times New Roman" w:cs="Times New Roman"/>
          <w:sz w:val="24"/>
          <w:szCs w:val="24"/>
        </w:rPr>
        <w:t>……………</w:t>
      </w:r>
      <w:r w:rsidR="005D57B9">
        <w:rPr>
          <w:rFonts w:ascii="Times New Roman" w:hAnsi="Times New Roman" w:cs="Times New Roman"/>
          <w:sz w:val="24"/>
          <w:szCs w:val="24"/>
        </w:rPr>
        <w:t>………</w:t>
      </w:r>
    </w:p>
    <w:p w14:paraId="5E9AB045" w14:textId="13AB81A2" w:rsidR="0099191C" w:rsidRDefault="0099191C" w:rsidP="005D57B9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</w:p>
    <w:p w14:paraId="6F69368F" w14:textId="114DC407" w:rsidR="0099191C" w:rsidRPr="00424ADE" w:rsidRDefault="008003CD" w:rsidP="005D57B9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99191C">
        <w:rPr>
          <w:rFonts w:ascii="Times New Roman" w:hAnsi="Times New Roman" w:cs="Times New Roman"/>
          <w:sz w:val="24"/>
          <w:szCs w:val="24"/>
        </w:rPr>
        <w:t>Derneği Genel Merkezi</w:t>
      </w:r>
    </w:p>
    <w:p w14:paraId="325EF094" w14:textId="77777777" w:rsidR="0099191C" w:rsidRPr="00424ADE" w:rsidRDefault="0099191C" w:rsidP="0099191C">
      <w:pPr>
        <w:jc w:val="both"/>
      </w:pPr>
    </w:p>
    <w:p w14:paraId="6F8A462C" w14:textId="32C26B7E" w:rsidR="002A6BB6" w:rsidRDefault="002A6BB6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7A28255" w14:textId="606EF49B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BAAD692" w14:textId="03F666F9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ED92052" w14:textId="0AB9B6AB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11A17F89" w14:textId="7BA67432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BC4A2AB" w14:textId="01A14162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255F61D" w14:textId="56CF8223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71C0689E" w14:textId="7D7A6D21" w:rsidR="000B57D1" w:rsidRDefault="000B57D1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0A64FFBF" w14:textId="68F2B2DA" w:rsidR="002E3105" w:rsidRPr="005D57B9" w:rsidRDefault="002E3105" w:rsidP="005D57B9">
      <w:pPr>
        <w:tabs>
          <w:tab w:val="left" w:pos="9923"/>
        </w:tabs>
        <w:spacing w:line="360" w:lineRule="auto"/>
        <w:ind w:right="567"/>
        <w:jc w:val="both"/>
      </w:pPr>
    </w:p>
    <w:p w14:paraId="1600100E" w14:textId="1B74A5A1" w:rsidR="002E3105" w:rsidRDefault="002E3105" w:rsidP="00424ADE">
      <w:pPr>
        <w:pStyle w:val="ListeParagraf"/>
        <w:tabs>
          <w:tab w:val="left" w:pos="9923"/>
        </w:tabs>
        <w:spacing w:after="0" w:line="360" w:lineRule="auto"/>
        <w:ind w:left="1418"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AB1D6B5" w14:textId="77777777" w:rsidR="002E3105" w:rsidRPr="00847964" w:rsidRDefault="002E3105" w:rsidP="002E3105">
      <w:pPr>
        <w:pStyle w:val="Balk2"/>
      </w:pPr>
      <w:bookmarkStart w:id="0" w:name="_Toc86919174"/>
      <w:r w:rsidRPr="00847964">
        <w:lastRenderedPageBreak/>
        <w:t>Sahaya İlişkin Yükümlülükler</w:t>
      </w:r>
      <w:bookmarkEnd w:id="0"/>
      <w:r w:rsidRPr="00847964">
        <w:t xml:space="preserve"> </w:t>
      </w:r>
    </w:p>
    <w:p w14:paraId="5386B2F2" w14:textId="77777777" w:rsidR="002E3105" w:rsidRPr="00847964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</w:pPr>
      <w:proofErr w:type="spellStart"/>
      <w:r w:rsidRPr="00847964">
        <w:t>TAMP’a</w:t>
      </w:r>
      <w:proofErr w:type="spellEnd"/>
      <w:r w:rsidRPr="00847964">
        <w:t xml:space="preserve"> göre herhangi bir afet ve acil durum haberi alındığında sahada psikososyal destek çalışmaları için Aile ve Sosyal Hizmetler Bakanlığı dışında başka bir kurum ve kuruluş ile irtibata geçilemez.</w:t>
      </w:r>
    </w:p>
    <w:p w14:paraId="718BDBE8" w14:textId="77777777" w:rsidR="002E3105" w:rsidRPr="00847964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</w:pPr>
      <w:r w:rsidRPr="00847964">
        <w:t xml:space="preserve">Herhangi bir afet ve acil durum haberi alındığında sahaya inmeden önce Bakanlık merkez teşkilatı ile iletişime geçilir. </w:t>
      </w:r>
    </w:p>
    <w:p w14:paraId="1D804600" w14:textId="77777777" w:rsidR="002E3105" w:rsidRPr="00847964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</w:pPr>
      <w:r w:rsidRPr="00847964">
        <w:t>Saha ziyaretleri ve çalışmaları başlamadan önce zaman, personel ve saha</w:t>
      </w:r>
      <w:r>
        <w:t>ya</w:t>
      </w:r>
      <w:r w:rsidRPr="00847964">
        <w:t xml:space="preserve"> ilişkin genel planlama Bakanlık merkez teşkilatı ile birlikte yapılır.</w:t>
      </w:r>
    </w:p>
    <w:p w14:paraId="5D0A2512" w14:textId="314B4AAE" w:rsidR="002E3105" w:rsidRPr="009F502C" w:rsidRDefault="005D57B9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Saha görevlendirmeleri</w:t>
      </w:r>
      <w:r w:rsidR="00DB1717" w:rsidRPr="009F502C">
        <w:rPr>
          <w:color w:val="000000" w:themeColor="text1"/>
        </w:rPr>
        <w:t>nde görev süresi ve ekip sayısı</w:t>
      </w:r>
      <w:r w:rsidRPr="009F502C">
        <w:rPr>
          <w:color w:val="000000" w:themeColor="text1"/>
        </w:rPr>
        <w:t xml:space="preserve"> </w:t>
      </w:r>
      <w:r w:rsidR="00DB1717" w:rsidRPr="009F502C">
        <w:rPr>
          <w:color w:val="000000" w:themeColor="text1"/>
        </w:rPr>
        <w:t>afetin dönemine ve sahanın ihtiyacına göre</w:t>
      </w:r>
      <w:r w:rsidR="009F502C">
        <w:rPr>
          <w:color w:val="000000" w:themeColor="text1"/>
        </w:rPr>
        <w:t xml:space="preserve"> Bakanlık</w:t>
      </w:r>
      <w:r w:rsidR="00DB1717" w:rsidRPr="009F502C">
        <w:rPr>
          <w:color w:val="000000" w:themeColor="text1"/>
        </w:rPr>
        <w:t xml:space="preserve"> </w:t>
      </w:r>
      <w:r w:rsidR="009F502C">
        <w:rPr>
          <w:color w:val="000000" w:themeColor="text1"/>
        </w:rPr>
        <w:t>m</w:t>
      </w:r>
      <w:r w:rsidR="00DB1717" w:rsidRPr="009F502C">
        <w:rPr>
          <w:color w:val="000000" w:themeColor="text1"/>
        </w:rPr>
        <w:t xml:space="preserve">erkez </w:t>
      </w:r>
      <w:r w:rsidR="009F502C">
        <w:rPr>
          <w:color w:val="000000" w:themeColor="text1"/>
        </w:rPr>
        <w:t>t</w:t>
      </w:r>
      <w:r w:rsidR="00DB1717" w:rsidRPr="009F502C">
        <w:rPr>
          <w:color w:val="000000" w:themeColor="text1"/>
        </w:rPr>
        <w:t>eşkilat</w:t>
      </w:r>
      <w:r w:rsidR="009F502C">
        <w:rPr>
          <w:color w:val="000000" w:themeColor="text1"/>
        </w:rPr>
        <w:t>ı</w:t>
      </w:r>
      <w:r w:rsidR="00DB1717" w:rsidRPr="009F502C">
        <w:rPr>
          <w:color w:val="000000" w:themeColor="text1"/>
        </w:rPr>
        <w:t xml:space="preserve"> tarafından belirlenebilir. Özellikle afetin akut sürecinde e</w:t>
      </w:r>
      <w:r w:rsidRPr="009F502C">
        <w:rPr>
          <w:color w:val="000000" w:themeColor="text1"/>
        </w:rPr>
        <w:t xml:space="preserve">n az 5-7 </w:t>
      </w:r>
      <w:r w:rsidR="002E3105" w:rsidRPr="009F502C">
        <w:rPr>
          <w:color w:val="000000" w:themeColor="text1"/>
        </w:rPr>
        <w:t>günlük periyodlar hal</w:t>
      </w:r>
      <w:r w:rsidRPr="009F502C">
        <w:rPr>
          <w:color w:val="000000" w:themeColor="text1"/>
        </w:rPr>
        <w:t>inde ve en az 4</w:t>
      </w:r>
      <w:r w:rsidR="002E3105" w:rsidRPr="009F502C">
        <w:rPr>
          <w:color w:val="000000" w:themeColor="text1"/>
        </w:rPr>
        <w:t xml:space="preserve"> kişilik ekipler şeklinde planlanır.</w:t>
      </w:r>
      <w:r w:rsidR="00742A48" w:rsidRPr="009F502C">
        <w:rPr>
          <w:color w:val="000000" w:themeColor="text1"/>
        </w:rPr>
        <w:t xml:space="preserve"> </w:t>
      </w:r>
    </w:p>
    <w:p w14:paraId="693D10C8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 Hangi tarih aralığında, kaç üyenin/çalışanın görevlendirileceği, ilk etapta belirlenen en az üç görevlendirmeyi içeren rotasyon listesi Bakanlık merkez teşkilatı ile paylaşılır.</w:t>
      </w:r>
    </w:p>
    <w:p w14:paraId="66B9C26A" w14:textId="5BF5F3E8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Ekip listesinde ismi verilmeyen</w:t>
      </w:r>
      <w:r w:rsidR="00742A48" w:rsidRPr="009F502C">
        <w:rPr>
          <w:color w:val="000000" w:themeColor="text1"/>
        </w:rPr>
        <w:t xml:space="preserve"> </w:t>
      </w:r>
      <w:r w:rsidRPr="009F502C">
        <w:rPr>
          <w:color w:val="000000" w:themeColor="text1"/>
        </w:rPr>
        <w:t>kişiler saha çalışmalarına</w:t>
      </w:r>
      <w:r w:rsidR="00AE31DF" w:rsidRPr="009F502C">
        <w:rPr>
          <w:color w:val="000000" w:themeColor="text1"/>
        </w:rPr>
        <w:t xml:space="preserve"> dahil edil</w:t>
      </w:r>
      <w:r w:rsidRPr="009F502C">
        <w:rPr>
          <w:color w:val="000000" w:themeColor="text1"/>
        </w:rPr>
        <w:t xml:space="preserve">mez. </w:t>
      </w:r>
    </w:p>
    <w:p w14:paraId="7F643CB6" w14:textId="08A6710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Afet ve acil durum sahasına inmeden önce ekip listesindeki kişiler Bakanlık tarafından düzenlenen oryantasyon eğitimlerine katılır. </w:t>
      </w:r>
    </w:p>
    <w:p w14:paraId="437A1B03" w14:textId="76E8B1B9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Sahaya inmeden önce listeler İl Müdürlüklerine Bakanlık merkez tarafından iletilir. </w:t>
      </w:r>
      <w:r w:rsidR="005D57B9" w:rsidRPr="009F502C">
        <w:rPr>
          <w:color w:val="000000" w:themeColor="text1"/>
        </w:rPr>
        <w:t xml:space="preserve">Bu nedenle sahaya inecek </w:t>
      </w:r>
      <w:r w:rsidR="00032593" w:rsidRPr="009F502C">
        <w:rPr>
          <w:color w:val="000000" w:themeColor="text1"/>
        </w:rPr>
        <w:t xml:space="preserve">(deprem bölgesine) </w:t>
      </w:r>
      <w:r w:rsidR="005D57B9" w:rsidRPr="009F502C">
        <w:rPr>
          <w:color w:val="000000" w:themeColor="text1"/>
        </w:rPr>
        <w:t xml:space="preserve">her bir ekibin listesi en az 4 gün önce Bakanlığa gönderilmelidir. </w:t>
      </w:r>
      <w:r w:rsidR="00032593" w:rsidRPr="009F502C">
        <w:rPr>
          <w:color w:val="000000" w:themeColor="text1"/>
        </w:rPr>
        <w:t xml:space="preserve">Kendi bulunduğu ilde tahliye edilen vatandaş ile çalışmak isteyen üye/gönüllü listelerinin ise zaman aralığı olmadığı için 1 kez Bakanlığa bildirilmesi yeterlidir. </w:t>
      </w:r>
    </w:p>
    <w:p w14:paraId="3E6B1689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Sahaya ulaşıldığında ilk olarak Bakanlığımız İl Müdürlüğüne gidilerek kişi ve araç kaydı yapılır.</w:t>
      </w:r>
    </w:p>
    <w:p w14:paraId="2D4C5472" w14:textId="0B664DAA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Afet ve acil durumlarda sahanın kaynaklarının sınırlı olmasından dolayı barınma, iaşe, araç, ulaşım vb. ihtiyaçlar kuruluşların kendileri tarafından karşılanır. </w:t>
      </w:r>
    </w:p>
    <w:p w14:paraId="6450689D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Bakanlığımız İl Müdürlüğü’nün belirlediği psikososyal müdahale ekiplerine dâhil olunarak, belirlenen tarih, saat ve yerde çalışmaya başlanır. </w:t>
      </w:r>
    </w:p>
    <w:p w14:paraId="7BCA28A5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Kuruluş üye/çalışanları Bakanlığımız İl Müdürlüğünün belirlediği ekip yapılanmasında yer alır ve ana çözüm ortağından bağımsız farklı bölgelerde farklı ekipler oluşturulmaz. </w:t>
      </w:r>
    </w:p>
    <w:p w14:paraId="15864B70" w14:textId="0EACC88A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Üyeler/çalışanlar resmi olarak Bakanlığımız İl Müdürlüğü’nün belirlediği ekip sorumlusuna bağlı olarak çalışır. </w:t>
      </w:r>
    </w:p>
    <w:p w14:paraId="15961214" w14:textId="281209FE" w:rsidR="00AE31DF" w:rsidRPr="009F502C" w:rsidRDefault="00AE31DF" w:rsidP="00AE31D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Üyeler/çalışanlar yetkinliklerine göre doğal liderlik vasfı ile akran süpervizörü, uzman süpervizörü, çalışana destek ve bireysel görüşme gibi uzmanlık gerektiren hizmetlerde aktif olarak yer alması sağlanır. </w:t>
      </w:r>
    </w:p>
    <w:p w14:paraId="0A640579" w14:textId="01BD41AB" w:rsidR="00370809" w:rsidRPr="009F502C" w:rsidRDefault="004B36DF" w:rsidP="00370809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Kuruluşlar, barınma merkezleri içinde ve dışında </w:t>
      </w:r>
      <w:proofErr w:type="spellStart"/>
      <w:r w:rsidRPr="009F502C">
        <w:rPr>
          <w:color w:val="000000" w:themeColor="text1"/>
        </w:rPr>
        <w:t>psikososyal</w:t>
      </w:r>
      <w:proofErr w:type="spellEnd"/>
      <w:r w:rsidRPr="009F502C">
        <w:rPr>
          <w:color w:val="000000" w:themeColor="text1"/>
        </w:rPr>
        <w:t xml:space="preserve"> destek çalışması yürüten s</w:t>
      </w:r>
      <w:r w:rsidR="002E3105" w:rsidRPr="009F502C">
        <w:rPr>
          <w:color w:val="000000" w:themeColor="text1"/>
        </w:rPr>
        <w:t>aha çalışmaları sırasında ekip sorumlusu tarafından talep edilen form, rapor, veri vb. bilgiler</w:t>
      </w:r>
      <w:r w:rsidRPr="009F502C">
        <w:rPr>
          <w:color w:val="000000" w:themeColor="text1"/>
        </w:rPr>
        <w:t xml:space="preserve">i </w:t>
      </w:r>
      <w:r w:rsidR="002E3105" w:rsidRPr="009F502C">
        <w:rPr>
          <w:color w:val="000000" w:themeColor="text1"/>
        </w:rPr>
        <w:t>istenilen zaman aralığında, eksiksiz bir şekilde doldurularak teslim ed</w:t>
      </w:r>
      <w:r w:rsidRPr="009F502C">
        <w:rPr>
          <w:color w:val="000000" w:themeColor="text1"/>
        </w:rPr>
        <w:t>er</w:t>
      </w:r>
      <w:r w:rsidR="002E3105" w:rsidRPr="009F502C">
        <w:rPr>
          <w:color w:val="000000" w:themeColor="text1"/>
        </w:rPr>
        <w:t>.</w:t>
      </w:r>
    </w:p>
    <w:p w14:paraId="57CCF73D" w14:textId="7BC354BA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lastRenderedPageBreak/>
        <w:t>Bakanlığımız İl Müdürlüğü</w:t>
      </w:r>
      <w:r w:rsidR="000E4464" w:rsidRPr="009F502C">
        <w:rPr>
          <w:color w:val="000000" w:themeColor="text1"/>
        </w:rPr>
        <w:t>’nün uygun gördüğü zamanlarda (özellikle afetin akut döneminde) İl Müdürlüğü</w:t>
      </w:r>
      <w:r w:rsidRPr="009F502C">
        <w:rPr>
          <w:color w:val="000000" w:themeColor="text1"/>
        </w:rPr>
        <w:t xml:space="preserve"> tarafından düzenlenen sabah ve akşam toplantılarına ve saha içi eğitimlere katılım sağlanır</w:t>
      </w:r>
      <w:r w:rsidR="000E4464" w:rsidRPr="009F502C">
        <w:rPr>
          <w:color w:val="000000" w:themeColor="text1"/>
        </w:rPr>
        <w:t>.</w:t>
      </w:r>
    </w:p>
    <w:p w14:paraId="6D35B15B" w14:textId="0EA8130B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Sahada yapılan çalışmalar sırasında Bakanlığımız İl Müdürlüğü tarafından talep edilmesi durumunda yerel kapasiteyi geliştirecek eğitim faaliyetlerine eğitmen desteği verilir.</w:t>
      </w:r>
      <w:r w:rsidR="00DA74B5" w:rsidRPr="009F502C">
        <w:rPr>
          <w:color w:val="000000" w:themeColor="text1"/>
        </w:rPr>
        <w:t xml:space="preserve"> </w:t>
      </w:r>
    </w:p>
    <w:p w14:paraId="3FE1D3DD" w14:textId="67CD364A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Üyelerin/çalışanların etik ilkelere ya da saha yükümlülüklerine uymadığının tespit edildiği durumlarda İl Müdürlüğü tarafından tutanak tutularak Bakanlığımıza bildirilir, üyenin uyarılması veya sahadan ayrılmasına ilişkin Bakanlığımız tarafından alınan karara kuruluşl</w:t>
      </w:r>
      <w:r w:rsidR="00CB365D" w:rsidRPr="009F502C">
        <w:rPr>
          <w:color w:val="000000" w:themeColor="text1"/>
        </w:rPr>
        <w:t>ar tarafından uyulur.</w:t>
      </w:r>
    </w:p>
    <w:p w14:paraId="1B59E3EC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Saha çalışmalarına yönelik basın, sosyal medya, web sitesi vb. alanlarda yapılacak açıklama ve yazılı metinlerde psikososyal destek çalışmalarının Bakanlığımız koordinesinde yapıldığı vurgulanır.</w:t>
      </w:r>
    </w:p>
    <w:p w14:paraId="6289880F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Üyelere/çalışanlara ve kuruluşlara ait sosyal medya, web site vb. hesaplarda kullanılacak fotoğraflar vatandaşın gizlilik ve mahremiyeti gözetilerek seçilir.</w:t>
      </w:r>
    </w:p>
    <w:p w14:paraId="5135918C" w14:textId="473A2E14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Sosyal iyileştirme çalışmalarında yer alacak kuruluşların hangi etkinliği, kiminle, kaç kişi ile nerede ve nasıl sunacağı Bakanlığımız İl Müdürlüğü </w:t>
      </w:r>
      <w:r w:rsidR="009F502C" w:rsidRPr="009F502C">
        <w:rPr>
          <w:color w:val="000000" w:themeColor="text1"/>
        </w:rPr>
        <w:t>ile</w:t>
      </w:r>
      <w:r w:rsidRPr="009F502C">
        <w:rPr>
          <w:color w:val="000000" w:themeColor="text1"/>
        </w:rPr>
        <w:t xml:space="preserve"> planlanır ve yapılır.</w:t>
      </w:r>
      <w:r w:rsidR="000E4464" w:rsidRPr="009F502C">
        <w:rPr>
          <w:color w:val="000000" w:themeColor="text1"/>
        </w:rPr>
        <w:t xml:space="preserve"> Ayrıca </w:t>
      </w:r>
      <w:r w:rsidR="00B94E1B" w:rsidRPr="009F502C">
        <w:rPr>
          <w:color w:val="000000" w:themeColor="text1"/>
        </w:rPr>
        <w:t xml:space="preserve">il içinde </w:t>
      </w:r>
      <w:r w:rsidR="000E4464" w:rsidRPr="009F502C">
        <w:rPr>
          <w:color w:val="000000" w:themeColor="text1"/>
        </w:rPr>
        <w:t>hanelerle</w:t>
      </w:r>
      <w:r w:rsidR="00B94E1B" w:rsidRPr="009F502C">
        <w:rPr>
          <w:color w:val="000000" w:themeColor="text1"/>
        </w:rPr>
        <w:t xml:space="preserve"> (geçici barınma merkezleri, konteyner</w:t>
      </w:r>
      <w:r w:rsidR="009F502C">
        <w:rPr>
          <w:color w:val="000000" w:themeColor="text1"/>
        </w:rPr>
        <w:t xml:space="preserve"> </w:t>
      </w:r>
      <w:r w:rsidR="00B94E1B" w:rsidRPr="009F502C">
        <w:rPr>
          <w:color w:val="000000" w:themeColor="text1"/>
        </w:rPr>
        <w:t xml:space="preserve">kentler, </w:t>
      </w:r>
      <w:proofErr w:type="spellStart"/>
      <w:r w:rsidR="00B94E1B" w:rsidRPr="009F502C">
        <w:rPr>
          <w:color w:val="000000" w:themeColor="text1"/>
        </w:rPr>
        <w:t>KYK’lar</w:t>
      </w:r>
      <w:proofErr w:type="spellEnd"/>
      <w:r w:rsidR="00B94E1B" w:rsidRPr="009F502C">
        <w:rPr>
          <w:color w:val="000000" w:themeColor="text1"/>
        </w:rPr>
        <w:t>, çadır</w:t>
      </w:r>
      <w:r w:rsidR="009F502C">
        <w:rPr>
          <w:color w:val="000000" w:themeColor="text1"/>
        </w:rPr>
        <w:t xml:space="preserve"> </w:t>
      </w:r>
      <w:r w:rsidR="00B94E1B" w:rsidRPr="009F502C">
        <w:rPr>
          <w:color w:val="000000" w:themeColor="text1"/>
        </w:rPr>
        <w:t>kentler, evler ve kendi evlerinde kalan tüm bireyler)</w:t>
      </w:r>
      <w:r w:rsidR="000E4464" w:rsidRPr="009F502C">
        <w:rPr>
          <w:color w:val="000000" w:themeColor="text1"/>
        </w:rPr>
        <w:t xml:space="preserve"> yapılacak </w:t>
      </w:r>
      <w:r w:rsidR="00DB1717" w:rsidRPr="009F502C">
        <w:rPr>
          <w:color w:val="000000" w:themeColor="text1"/>
        </w:rPr>
        <w:t xml:space="preserve">görüşmelerin ve faaliyetlerin </w:t>
      </w:r>
      <w:r w:rsidR="000E4464" w:rsidRPr="009F502C">
        <w:rPr>
          <w:color w:val="000000" w:themeColor="text1"/>
        </w:rPr>
        <w:t>İl Müdürlüğü’nün belirlediği Bakanlık personelleri ile yapılması gerekir.</w:t>
      </w:r>
    </w:p>
    <w:p w14:paraId="0F1D897F" w14:textId="78163263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Sosyal iyileştirme çalışmalarını gerçekleştirecek olan kuruluşlar sahada kullanacakları tüm malzeme ve materyalleri kendileri temin eder.</w:t>
      </w:r>
      <w:r w:rsidR="003E7F43" w:rsidRPr="009F502C">
        <w:rPr>
          <w:color w:val="000000" w:themeColor="text1"/>
        </w:rPr>
        <w:t xml:space="preserve"> </w:t>
      </w:r>
    </w:p>
    <w:p w14:paraId="0CE88E0D" w14:textId="20AD4CAE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Kuruluşlar, sahada görevlendirdiği son ekip ayrılmadan önce ilgili İl Müdürlüğüne bilgi verir.</w:t>
      </w:r>
    </w:p>
    <w:p w14:paraId="509E3142" w14:textId="77777777" w:rsidR="002E3105" w:rsidRPr="009F502C" w:rsidRDefault="002E3105" w:rsidP="002E3105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 xml:space="preserve">Kuruluşlar, sahadan ayrılışlarını İl Müdürlüğü ile istişare edilerek kontrollü bir şekilde yapar. </w:t>
      </w:r>
    </w:p>
    <w:p w14:paraId="0CD76B4E" w14:textId="25F4CB23" w:rsidR="00370809" w:rsidRPr="009F502C" w:rsidRDefault="002E3105" w:rsidP="004B36D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Kuruluşlar</w:t>
      </w:r>
      <w:r w:rsidR="00AE31DF" w:rsidRPr="009F502C">
        <w:rPr>
          <w:color w:val="000000" w:themeColor="text1"/>
        </w:rPr>
        <w:t xml:space="preserve"> sahadan dönen ekiplerinden</w:t>
      </w:r>
      <w:r w:rsidR="00DB1717" w:rsidRPr="009F502C">
        <w:rPr>
          <w:color w:val="000000" w:themeColor="text1"/>
        </w:rPr>
        <w:t xml:space="preserve"> </w:t>
      </w:r>
      <w:r w:rsidR="00AE31DF" w:rsidRPr="009F502C">
        <w:rPr>
          <w:color w:val="000000" w:themeColor="text1"/>
        </w:rPr>
        <w:t xml:space="preserve">aldıkları geri bildirimleri ara değerlendirme raporu olarak istedikleri zaman aralığında, </w:t>
      </w:r>
      <w:r w:rsidRPr="009F502C">
        <w:rPr>
          <w:color w:val="000000" w:themeColor="text1"/>
        </w:rPr>
        <w:t>saha çalışmalarını tamamla</w:t>
      </w:r>
      <w:r w:rsidR="00AE31DF" w:rsidRPr="009F502C">
        <w:rPr>
          <w:color w:val="000000" w:themeColor="text1"/>
        </w:rPr>
        <w:t>dıktan sonraki genel raporlarını</w:t>
      </w:r>
      <w:r w:rsidRPr="009F502C">
        <w:rPr>
          <w:color w:val="000000" w:themeColor="text1"/>
        </w:rPr>
        <w:t xml:space="preserve"> </w:t>
      </w:r>
      <w:r w:rsidR="00AE31DF" w:rsidRPr="009F502C">
        <w:rPr>
          <w:color w:val="000000" w:themeColor="text1"/>
        </w:rPr>
        <w:t xml:space="preserve">ise </w:t>
      </w:r>
      <w:r w:rsidRPr="009F502C">
        <w:rPr>
          <w:color w:val="000000" w:themeColor="text1"/>
        </w:rPr>
        <w:t xml:space="preserve">en geç 1 ay içinde düzenleyerek Bakanlık </w:t>
      </w:r>
      <w:r w:rsidR="00AE31DF" w:rsidRPr="009F502C">
        <w:rPr>
          <w:color w:val="000000" w:themeColor="text1"/>
        </w:rPr>
        <w:t xml:space="preserve">merkez teşkilatına gönderir. </w:t>
      </w:r>
    </w:p>
    <w:p w14:paraId="63195235" w14:textId="1D51DD93" w:rsidR="004B36DF" w:rsidRPr="009F502C" w:rsidRDefault="004B36DF" w:rsidP="004B36DF">
      <w:pPr>
        <w:pStyle w:val="ListeParagraf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9F502C">
        <w:rPr>
          <w:color w:val="000000" w:themeColor="text1"/>
        </w:rPr>
        <w:t>Kuruluşlar, sahadaki çalışmalar esnasında Kişisel Verileri Koruma Kanunu’na göre hareket eder.</w:t>
      </w:r>
    </w:p>
    <w:p w14:paraId="7BBA0826" w14:textId="77777777" w:rsidR="004B36DF" w:rsidRDefault="004B36DF" w:rsidP="004B36DF">
      <w:pPr>
        <w:spacing w:line="360" w:lineRule="auto"/>
        <w:ind w:left="360"/>
        <w:jc w:val="both"/>
        <w:rPr>
          <w:rFonts w:eastAsiaTheme="minorHAnsi"/>
          <w:color w:val="FF0000"/>
        </w:rPr>
      </w:pPr>
    </w:p>
    <w:p w14:paraId="33503DA2" w14:textId="77777777" w:rsidR="004B36DF" w:rsidRDefault="004B36DF" w:rsidP="004B36DF">
      <w:pPr>
        <w:spacing w:line="360" w:lineRule="auto"/>
        <w:ind w:left="360"/>
        <w:jc w:val="both"/>
        <w:rPr>
          <w:rFonts w:eastAsiaTheme="minorHAnsi"/>
          <w:color w:val="FF0000"/>
        </w:rPr>
      </w:pPr>
    </w:p>
    <w:p w14:paraId="0092E956" w14:textId="77777777" w:rsidR="004B36DF" w:rsidRPr="004B36DF" w:rsidRDefault="004B36DF" w:rsidP="004B36DF">
      <w:pPr>
        <w:spacing w:line="360" w:lineRule="auto"/>
        <w:ind w:left="360"/>
        <w:jc w:val="both"/>
        <w:rPr>
          <w:rFonts w:eastAsiaTheme="minorHAnsi"/>
          <w:color w:val="FF0000"/>
        </w:rPr>
      </w:pPr>
    </w:p>
    <w:p w14:paraId="7E227FAA" w14:textId="77777777" w:rsidR="009F502C" w:rsidRDefault="009F502C" w:rsidP="00CB365D">
      <w:pPr>
        <w:spacing w:after="200" w:line="360" w:lineRule="auto"/>
        <w:rPr>
          <w:rFonts w:asciiTheme="minorHAnsi" w:hAnsiTheme="minorHAnsi" w:cstheme="minorHAnsi"/>
        </w:rPr>
      </w:pPr>
    </w:p>
    <w:p w14:paraId="701CD98F" w14:textId="77777777" w:rsidR="009F502C" w:rsidRDefault="009F502C" w:rsidP="00CB365D">
      <w:pPr>
        <w:spacing w:after="200" w:line="360" w:lineRule="auto"/>
        <w:rPr>
          <w:rFonts w:asciiTheme="minorHAnsi" w:hAnsiTheme="minorHAnsi" w:cstheme="minorHAnsi"/>
        </w:rPr>
      </w:pPr>
    </w:p>
    <w:p w14:paraId="4C14A8BA" w14:textId="77777777" w:rsidR="009F502C" w:rsidRDefault="009F502C" w:rsidP="00CB365D">
      <w:pPr>
        <w:spacing w:after="200" w:line="360" w:lineRule="auto"/>
        <w:rPr>
          <w:rFonts w:asciiTheme="minorHAnsi" w:hAnsiTheme="minorHAnsi" w:cstheme="minorHAnsi"/>
        </w:rPr>
      </w:pPr>
    </w:p>
    <w:p w14:paraId="3BE1259D" w14:textId="1DD33E95" w:rsidR="002E3105" w:rsidRPr="00CE0F8D" w:rsidRDefault="00AE31DF" w:rsidP="00CB365D">
      <w:pPr>
        <w:spacing w:after="200" w:line="360" w:lineRule="auto"/>
        <w:rPr>
          <w:rFonts w:asciiTheme="minorHAnsi" w:hAnsiTheme="minorHAnsi" w:cstheme="minorHAnsi"/>
        </w:rPr>
      </w:pPr>
      <w:r w:rsidRPr="00CE0F8D">
        <w:rPr>
          <w:rFonts w:asciiTheme="minorHAnsi" w:hAnsiTheme="minorHAnsi" w:cstheme="minorHAnsi"/>
        </w:rPr>
        <w:lastRenderedPageBreak/>
        <w:t xml:space="preserve">Yukarıda yer alan sahaya ilişkin yükümlülükler üyelerimiz ve </w:t>
      </w:r>
      <w:r w:rsidR="00CB365D" w:rsidRPr="00CE0F8D">
        <w:rPr>
          <w:rFonts w:asciiTheme="minorHAnsi" w:hAnsiTheme="minorHAnsi" w:cstheme="minorHAnsi"/>
        </w:rPr>
        <w:t>gönüllülerimiz ile paylaşılmıştır.</w:t>
      </w:r>
    </w:p>
    <w:p w14:paraId="694A314A" w14:textId="77777777" w:rsidR="00CB365D" w:rsidRPr="00847964" w:rsidRDefault="00CB365D" w:rsidP="002E3105">
      <w:pPr>
        <w:spacing w:after="200" w:line="360" w:lineRule="auto"/>
      </w:pPr>
    </w:p>
    <w:p w14:paraId="32C16312" w14:textId="77777777" w:rsidR="00CB365D" w:rsidRDefault="00CB365D" w:rsidP="00CB365D">
      <w:pPr>
        <w:spacing w:line="360" w:lineRule="auto"/>
        <w:ind w:firstLine="708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………………………….</w:t>
      </w:r>
    </w:p>
    <w:p w14:paraId="7153CED6" w14:textId="40028627" w:rsidR="00AE31DF" w:rsidRPr="000B57D1" w:rsidRDefault="00AE31DF" w:rsidP="00CB365D">
      <w:pPr>
        <w:spacing w:line="360" w:lineRule="auto"/>
        <w:ind w:firstLine="708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İ</w:t>
      </w:r>
      <w:r w:rsidRPr="000B57D1">
        <w:rPr>
          <w:rFonts w:asciiTheme="minorHAnsi" w:hAnsiTheme="minorHAnsi"/>
          <w:szCs w:val="22"/>
        </w:rPr>
        <w:t>mza</w:t>
      </w:r>
    </w:p>
    <w:p w14:paraId="3732D12B" w14:textId="77777777" w:rsidR="00AE31DF" w:rsidRPr="00A326B7" w:rsidRDefault="00AE31DF" w:rsidP="00AE31DF">
      <w:pPr>
        <w:spacing w:line="360" w:lineRule="auto"/>
        <w:ind w:firstLine="708"/>
        <w:jc w:val="center"/>
        <w:rPr>
          <w:rFonts w:asciiTheme="minorHAnsi" w:hAnsiTheme="minorHAnsi"/>
          <w:szCs w:val="22"/>
        </w:rPr>
      </w:pPr>
    </w:p>
    <w:p w14:paraId="003E5D21" w14:textId="77777777" w:rsidR="00CB365D" w:rsidRDefault="00CB365D" w:rsidP="00AE31DF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38F27FA" w14:textId="738762C6" w:rsidR="00AE31DF" w:rsidRDefault="00AE31DF" w:rsidP="00AE31DF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5FD74FE" w14:textId="3B5FBD0F" w:rsidR="00AE31DF" w:rsidRDefault="00AE31DF" w:rsidP="00AE31DF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  <w:r w:rsidR="00CB3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32584" w14:textId="42EDCF02" w:rsidR="00CB365D" w:rsidRDefault="00AE31DF" w:rsidP="00AE31DF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CB365D"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</w:p>
    <w:p w14:paraId="377DFF94" w14:textId="1F1D5C1A" w:rsidR="00AE31DF" w:rsidRPr="00424ADE" w:rsidRDefault="00AE31DF" w:rsidP="00AE31DF">
      <w:pPr>
        <w:pStyle w:val="ListeParagraf"/>
        <w:tabs>
          <w:tab w:val="left" w:pos="9923"/>
        </w:tabs>
        <w:spacing w:after="0" w:line="360" w:lineRule="auto"/>
        <w:ind w:left="1418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Derneği Genel Merkezi</w:t>
      </w:r>
      <w:r w:rsidR="00CB365D">
        <w:rPr>
          <w:rFonts w:ascii="Times New Roman" w:hAnsi="Times New Roman" w:cs="Times New Roman"/>
          <w:sz w:val="24"/>
          <w:szCs w:val="24"/>
        </w:rPr>
        <w:t xml:space="preserve"> / Kuruluşu</w:t>
      </w:r>
    </w:p>
    <w:p w14:paraId="6502E255" w14:textId="07C602C8" w:rsidR="002E3105" w:rsidRPr="00370809" w:rsidRDefault="002E3105" w:rsidP="002E3105">
      <w:pPr>
        <w:pStyle w:val="ListeParagraf"/>
        <w:tabs>
          <w:tab w:val="left" w:pos="9923"/>
        </w:tabs>
        <w:spacing w:after="0" w:line="360" w:lineRule="auto"/>
        <w:ind w:left="0" w:right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3105" w:rsidRPr="00370809" w:rsidSect="00AC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D37"/>
    <w:multiLevelType w:val="multilevel"/>
    <w:tmpl w:val="27B6F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675355"/>
    <w:multiLevelType w:val="hybridMultilevel"/>
    <w:tmpl w:val="1D9E98F4"/>
    <w:lvl w:ilvl="0" w:tplc="E5F0D2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64B87"/>
    <w:multiLevelType w:val="hybridMultilevel"/>
    <w:tmpl w:val="C56C6320"/>
    <w:lvl w:ilvl="0" w:tplc="37425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607E1"/>
    <w:multiLevelType w:val="hybridMultilevel"/>
    <w:tmpl w:val="CE5403BC"/>
    <w:lvl w:ilvl="0" w:tplc="AB043382">
      <w:start w:val="1"/>
      <w:numFmt w:val="decimal"/>
      <w:lvlText w:val="%1."/>
      <w:lvlJc w:val="right"/>
      <w:pPr>
        <w:ind w:left="2574" w:hanging="360"/>
      </w:pPr>
      <w:rPr>
        <w:rFonts w:ascii="Times New Roman" w:eastAsiaTheme="minorHAnsi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3294" w:hanging="360"/>
      </w:pPr>
    </w:lvl>
    <w:lvl w:ilvl="2" w:tplc="041F001B" w:tentative="1">
      <w:start w:val="1"/>
      <w:numFmt w:val="lowerRoman"/>
      <w:lvlText w:val="%3."/>
      <w:lvlJc w:val="right"/>
      <w:pPr>
        <w:ind w:left="4014" w:hanging="180"/>
      </w:pPr>
    </w:lvl>
    <w:lvl w:ilvl="3" w:tplc="041F000F" w:tentative="1">
      <w:start w:val="1"/>
      <w:numFmt w:val="decimal"/>
      <w:lvlText w:val="%4."/>
      <w:lvlJc w:val="left"/>
      <w:pPr>
        <w:ind w:left="4734" w:hanging="360"/>
      </w:pPr>
    </w:lvl>
    <w:lvl w:ilvl="4" w:tplc="041F0019" w:tentative="1">
      <w:start w:val="1"/>
      <w:numFmt w:val="lowerLetter"/>
      <w:lvlText w:val="%5."/>
      <w:lvlJc w:val="left"/>
      <w:pPr>
        <w:ind w:left="5454" w:hanging="360"/>
      </w:pPr>
    </w:lvl>
    <w:lvl w:ilvl="5" w:tplc="041F001B" w:tentative="1">
      <w:start w:val="1"/>
      <w:numFmt w:val="lowerRoman"/>
      <w:lvlText w:val="%6."/>
      <w:lvlJc w:val="right"/>
      <w:pPr>
        <w:ind w:left="6174" w:hanging="180"/>
      </w:pPr>
    </w:lvl>
    <w:lvl w:ilvl="6" w:tplc="041F000F" w:tentative="1">
      <w:start w:val="1"/>
      <w:numFmt w:val="decimal"/>
      <w:lvlText w:val="%7."/>
      <w:lvlJc w:val="left"/>
      <w:pPr>
        <w:ind w:left="6894" w:hanging="360"/>
      </w:pPr>
    </w:lvl>
    <w:lvl w:ilvl="7" w:tplc="041F0019" w:tentative="1">
      <w:start w:val="1"/>
      <w:numFmt w:val="lowerLetter"/>
      <w:lvlText w:val="%8."/>
      <w:lvlJc w:val="left"/>
      <w:pPr>
        <w:ind w:left="7614" w:hanging="360"/>
      </w:pPr>
    </w:lvl>
    <w:lvl w:ilvl="8" w:tplc="041F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 w15:restartNumberingAfterBreak="0">
    <w:nsid w:val="7C5346DA"/>
    <w:multiLevelType w:val="hybridMultilevel"/>
    <w:tmpl w:val="92CADE1E"/>
    <w:lvl w:ilvl="0" w:tplc="E1D67AD0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097602615">
    <w:abstractNumId w:val="4"/>
  </w:num>
  <w:num w:numId="2" w16cid:durableId="43793802">
    <w:abstractNumId w:val="3"/>
  </w:num>
  <w:num w:numId="3" w16cid:durableId="488668253">
    <w:abstractNumId w:val="2"/>
  </w:num>
  <w:num w:numId="4" w16cid:durableId="2034455379">
    <w:abstractNumId w:val="0"/>
  </w:num>
  <w:num w:numId="5" w16cid:durableId="1097287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DE"/>
    <w:rsid w:val="00032593"/>
    <w:rsid w:val="00073AFF"/>
    <w:rsid w:val="00074391"/>
    <w:rsid w:val="000B57D1"/>
    <w:rsid w:val="000E4464"/>
    <w:rsid w:val="0016364E"/>
    <w:rsid w:val="002543B7"/>
    <w:rsid w:val="002A6BB6"/>
    <w:rsid w:val="002E3105"/>
    <w:rsid w:val="0030240A"/>
    <w:rsid w:val="00347F09"/>
    <w:rsid w:val="00370809"/>
    <w:rsid w:val="00371D01"/>
    <w:rsid w:val="003E7F43"/>
    <w:rsid w:val="00424ADE"/>
    <w:rsid w:val="00434533"/>
    <w:rsid w:val="00476785"/>
    <w:rsid w:val="004B36DF"/>
    <w:rsid w:val="0059001C"/>
    <w:rsid w:val="00591CB9"/>
    <w:rsid w:val="005D57B9"/>
    <w:rsid w:val="00635647"/>
    <w:rsid w:val="00742A48"/>
    <w:rsid w:val="008003CD"/>
    <w:rsid w:val="00835E29"/>
    <w:rsid w:val="0091598A"/>
    <w:rsid w:val="0099191C"/>
    <w:rsid w:val="009D5DAF"/>
    <w:rsid w:val="009F1331"/>
    <w:rsid w:val="009F502C"/>
    <w:rsid w:val="00AC42B2"/>
    <w:rsid w:val="00AE31DF"/>
    <w:rsid w:val="00AF5D6B"/>
    <w:rsid w:val="00B40CD1"/>
    <w:rsid w:val="00B94E1B"/>
    <w:rsid w:val="00C17849"/>
    <w:rsid w:val="00CB365D"/>
    <w:rsid w:val="00CE0F8D"/>
    <w:rsid w:val="00DA74B5"/>
    <w:rsid w:val="00DB1717"/>
    <w:rsid w:val="00DD2936"/>
    <w:rsid w:val="00F4156F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84AA"/>
  <w15:docId w15:val="{3AB30540-DEC3-481E-BE27-0684BCE3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2E3105"/>
    <w:pPr>
      <w:keepNext/>
      <w:keepLines/>
      <w:spacing w:before="40" w:line="360" w:lineRule="auto"/>
      <w:ind w:left="720"/>
      <w:jc w:val="both"/>
      <w:outlineLvl w:val="1"/>
    </w:pPr>
    <w:rPr>
      <w:rFonts w:eastAsiaTheme="majorEastAsia"/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Bullet List,Bullet Points,Table of contents numbered,Heading 2_sj,Dot pt,Numbered Para 1,No Spacing1,List Paragraph Char Char Char,Indicator Text,Bullet 1,MAIN CONTENT,List Paragraph12,F5 List Paragraph,Liststycke SKL,Tasks,Bullets"/>
    <w:basedOn w:val="Normal"/>
    <w:link w:val="ListeParagrafChar"/>
    <w:uiPriority w:val="34"/>
    <w:qFormat/>
    <w:rsid w:val="00424ADE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aliases w:val="Bullet List Char,Bullet Points Char,Table of contents numbered Char,Heading 2_sj Char,Dot pt Char,Numbered Para 1 Char,No Spacing1 Char,List Paragraph Char Char Char Char,Indicator Text Char,Bullet 1 Char,MAIN CONTENT Char,Tasks Char"/>
    <w:link w:val="ListeParagraf"/>
    <w:uiPriority w:val="34"/>
    <w:qFormat/>
    <w:rsid w:val="00424ADE"/>
  </w:style>
  <w:style w:type="character" w:customStyle="1" w:styleId="Balk2Char">
    <w:name w:val="Başlık 2 Char"/>
    <w:basedOn w:val="VarsaylanParagrafYazTipi"/>
    <w:link w:val="Balk2"/>
    <w:uiPriority w:val="9"/>
    <w:rsid w:val="002E3105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KÜBRA GÜNEŞ</cp:lastModifiedBy>
  <cp:revision>2</cp:revision>
  <dcterms:created xsi:type="dcterms:W3CDTF">2023-12-27T12:07:00Z</dcterms:created>
  <dcterms:modified xsi:type="dcterms:W3CDTF">2023-12-27T12:07:00Z</dcterms:modified>
</cp:coreProperties>
</file>